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361E2F">
        <w:trPr>
          <w:tblCellSpacing w:w="60" w:type="dxa"/>
        </w:trPr>
        <w:tc>
          <w:tcPr>
            <w:tcW w:w="1200" w:type="pct"/>
            <w:shd w:val="clear" w:color="auto" w:fill="E7F0F9"/>
          </w:tcPr>
          <w:p w:rsidR="00361E2F" w:rsidRDefault="00883EDC">
            <w:pPr>
              <w:spacing w:after="0" w:line="240" w:lineRule="auto"/>
            </w:pPr>
            <w:r>
              <w:rPr>
                <w:b/>
              </w:rPr>
              <w:t>RKP broj</w:t>
            </w:r>
          </w:p>
        </w:tc>
        <w:tc>
          <w:tcPr>
            <w:tcW w:w="0" w:type="auto"/>
            <w:shd w:val="clear" w:color="auto" w:fill="E7F0F9"/>
          </w:tcPr>
          <w:p w:rsidR="00361E2F" w:rsidRDefault="00883EDC">
            <w:pPr>
              <w:spacing w:after="0" w:line="240" w:lineRule="auto"/>
            </w:pPr>
            <w:r>
              <w:t>30402</w:t>
            </w:r>
          </w:p>
        </w:tc>
      </w:tr>
      <w:tr w:rsidR="00361E2F">
        <w:trPr>
          <w:tblCellSpacing w:w="60" w:type="dxa"/>
        </w:trPr>
        <w:tc>
          <w:tcPr>
            <w:tcW w:w="1200" w:type="pct"/>
            <w:shd w:val="clear" w:color="auto" w:fill="E7F0F9"/>
          </w:tcPr>
          <w:p w:rsidR="00361E2F" w:rsidRDefault="00883EDC">
            <w:pPr>
              <w:spacing w:after="0" w:line="240" w:lineRule="auto"/>
            </w:pPr>
            <w:r>
              <w:rPr>
                <w:b/>
              </w:rPr>
              <w:t>Naziv obveznika</w:t>
            </w:r>
          </w:p>
        </w:tc>
        <w:tc>
          <w:tcPr>
            <w:tcW w:w="0" w:type="auto"/>
            <w:shd w:val="clear" w:color="auto" w:fill="E7F0F9"/>
          </w:tcPr>
          <w:p w:rsidR="00361E2F" w:rsidRDefault="00883EDC">
            <w:pPr>
              <w:spacing w:after="0" w:line="240" w:lineRule="auto"/>
            </w:pPr>
            <w:r>
              <w:t>OPĆINA FUŽINE</w:t>
            </w:r>
          </w:p>
        </w:tc>
      </w:tr>
      <w:tr w:rsidR="00361E2F">
        <w:trPr>
          <w:tblCellSpacing w:w="60" w:type="dxa"/>
        </w:trPr>
        <w:tc>
          <w:tcPr>
            <w:tcW w:w="1200" w:type="pct"/>
            <w:shd w:val="clear" w:color="auto" w:fill="E7F0F9"/>
          </w:tcPr>
          <w:p w:rsidR="00361E2F" w:rsidRDefault="00883EDC">
            <w:pPr>
              <w:spacing w:after="0" w:line="240" w:lineRule="auto"/>
            </w:pPr>
            <w:r>
              <w:rPr>
                <w:b/>
              </w:rPr>
              <w:t>Razina</w:t>
            </w:r>
          </w:p>
        </w:tc>
        <w:tc>
          <w:tcPr>
            <w:tcW w:w="0" w:type="auto"/>
            <w:shd w:val="clear" w:color="auto" w:fill="E7F0F9"/>
          </w:tcPr>
          <w:p w:rsidR="00361E2F" w:rsidRDefault="00883EDC">
            <w:pPr>
              <w:spacing w:after="0" w:line="240" w:lineRule="auto"/>
            </w:pPr>
            <w:r>
              <w:t>23</w:t>
            </w:r>
          </w:p>
        </w:tc>
      </w:tr>
    </w:tbl>
    <w:p w:rsidR="00361E2F" w:rsidRDefault="00883EDC">
      <w:r>
        <w:br/>
      </w:r>
    </w:p>
    <w:p w:rsidR="00361E2F" w:rsidRDefault="00883EDC">
      <w:pPr>
        <w:spacing w:line="240" w:lineRule="auto"/>
        <w:jc w:val="center"/>
      </w:pPr>
      <w:r>
        <w:rPr>
          <w:b/>
          <w:sz w:val="28"/>
        </w:rPr>
        <w:t>BILJEŠKE UZ FINANCIJSKE IZVJEŠTAJE</w:t>
      </w:r>
    </w:p>
    <w:p w:rsidR="00361E2F" w:rsidRDefault="00883EDC">
      <w:pPr>
        <w:spacing w:line="240" w:lineRule="auto"/>
        <w:jc w:val="center"/>
      </w:pPr>
      <w:r>
        <w:rPr>
          <w:b/>
          <w:sz w:val="28"/>
        </w:rPr>
        <w:t>ZA RAZDOBLJE</w:t>
      </w:r>
    </w:p>
    <w:p w:rsidR="00361E2F" w:rsidRDefault="00883EDC">
      <w:pPr>
        <w:spacing w:line="240" w:lineRule="auto"/>
        <w:jc w:val="center"/>
      </w:pPr>
      <w:r>
        <w:rPr>
          <w:b/>
          <w:sz w:val="28"/>
        </w:rPr>
        <w:t>I - XII 2025.</w:t>
      </w:r>
    </w:p>
    <w:p w:rsidR="00361E2F" w:rsidRDefault="00361E2F"/>
    <w:p w:rsidR="00361E2F" w:rsidRDefault="00883EDC">
      <w:pPr>
        <w:keepNext/>
        <w:spacing w:line="240" w:lineRule="auto"/>
        <w:jc w:val="center"/>
      </w:pPr>
      <w:r>
        <w:rPr>
          <w:b/>
          <w:sz w:val="28"/>
        </w:rPr>
        <w:t>Izvještaj o prihodima i rashodima, primicima i izdacima</w:t>
      </w:r>
    </w:p>
    <w:p w:rsidR="00361E2F" w:rsidRDefault="00883ED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w:t>
            </w:r>
          </w:p>
        </w:tc>
        <w:tc>
          <w:tcPr>
            <w:tcW w:w="3180" w:type="dxa"/>
            <w:tcMar>
              <w:top w:w="0" w:type="dxa"/>
              <w:bottom w:w="0" w:type="dxa"/>
            </w:tcMar>
            <w:vAlign w:val="center"/>
          </w:tcPr>
          <w:p w:rsidR="00361E2F" w:rsidRDefault="00883EDC">
            <w:pPr>
              <w:keepNext/>
              <w:keepLines/>
              <w:spacing w:after="0" w:line="240" w:lineRule="auto"/>
            </w:pPr>
            <w:r>
              <w:rPr>
                <w:sz w:val="18"/>
              </w:rPr>
              <w:t>PRIHODI POSLOVANJA (šifre 61+62+63+64+65+66+67+68)</w:t>
            </w:r>
          </w:p>
        </w:tc>
        <w:tc>
          <w:tcPr>
            <w:tcW w:w="700" w:type="dxa"/>
            <w:tcMar>
              <w:top w:w="0" w:type="dxa"/>
              <w:bottom w:w="0" w:type="dxa"/>
            </w:tcMar>
            <w:vAlign w:val="center"/>
          </w:tcPr>
          <w:p w:rsidR="00361E2F" w:rsidRDefault="00883EDC">
            <w:pPr>
              <w:keepNext/>
              <w:keepLines/>
              <w:spacing w:after="0" w:line="240" w:lineRule="auto"/>
            </w:pPr>
            <w:r>
              <w:rPr>
                <w:sz w:val="18"/>
              </w:rPr>
              <w:t>6</w:t>
            </w:r>
          </w:p>
        </w:tc>
        <w:tc>
          <w:tcPr>
            <w:tcW w:w="1860" w:type="dxa"/>
            <w:tcMar>
              <w:top w:w="0" w:type="dxa"/>
              <w:bottom w:w="0" w:type="dxa"/>
            </w:tcMar>
            <w:vAlign w:val="center"/>
          </w:tcPr>
          <w:p w:rsidR="00361E2F" w:rsidRDefault="00883EDC">
            <w:pPr>
              <w:keepNext/>
              <w:keepLines/>
              <w:spacing w:after="0" w:line="240" w:lineRule="auto"/>
              <w:jc w:val="right"/>
            </w:pPr>
            <w:r>
              <w:rPr>
                <w:sz w:val="18"/>
              </w:rPr>
              <w:t>2.645.120,24</w:t>
            </w:r>
          </w:p>
        </w:tc>
        <w:tc>
          <w:tcPr>
            <w:tcW w:w="1860" w:type="dxa"/>
            <w:tcMar>
              <w:top w:w="0" w:type="dxa"/>
              <w:bottom w:w="0" w:type="dxa"/>
            </w:tcMar>
            <w:vAlign w:val="center"/>
          </w:tcPr>
          <w:p w:rsidR="00361E2F" w:rsidRDefault="00883EDC">
            <w:pPr>
              <w:keepNext/>
              <w:keepLines/>
              <w:spacing w:after="0" w:line="240" w:lineRule="auto"/>
              <w:jc w:val="right"/>
            </w:pPr>
            <w:r>
              <w:rPr>
                <w:sz w:val="18"/>
              </w:rPr>
              <w:t>3.374.757,32</w:t>
            </w:r>
          </w:p>
        </w:tc>
        <w:tc>
          <w:tcPr>
            <w:tcW w:w="700" w:type="dxa"/>
            <w:tcMar>
              <w:top w:w="0" w:type="dxa"/>
              <w:bottom w:w="0" w:type="dxa"/>
            </w:tcMar>
            <w:vAlign w:val="center"/>
          </w:tcPr>
          <w:p w:rsidR="00361E2F" w:rsidRDefault="00883EDC">
            <w:pPr>
              <w:keepNext/>
              <w:keepLines/>
              <w:spacing w:after="0" w:line="240" w:lineRule="auto"/>
              <w:jc w:val="right"/>
            </w:pPr>
            <w:r>
              <w:rPr>
                <w:sz w:val="18"/>
              </w:rPr>
              <w:t>127,6</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w:t>
            </w:r>
          </w:p>
        </w:tc>
        <w:tc>
          <w:tcPr>
            <w:tcW w:w="3180" w:type="dxa"/>
            <w:tcMar>
              <w:top w:w="0" w:type="dxa"/>
              <w:bottom w:w="0" w:type="dxa"/>
            </w:tcMar>
            <w:vAlign w:val="center"/>
          </w:tcPr>
          <w:p w:rsidR="00361E2F" w:rsidRDefault="00883EDC">
            <w:pPr>
              <w:keepNext/>
              <w:keepLines/>
              <w:spacing w:after="0" w:line="240" w:lineRule="auto"/>
            </w:pPr>
            <w:r>
              <w:rPr>
                <w:sz w:val="18"/>
              </w:rPr>
              <w:t>RASHODI POSLOVANJA (šifre 31+32+34+35+36+37+38)</w:t>
            </w:r>
          </w:p>
        </w:tc>
        <w:tc>
          <w:tcPr>
            <w:tcW w:w="700" w:type="dxa"/>
            <w:tcMar>
              <w:top w:w="0" w:type="dxa"/>
              <w:bottom w:w="0" w:type="dxa"/>
            </w:tcMar>
            <w:vAlign w:val="center"/>
          </w:tcPr>
          <w:p w:rsidR="00361E2F" w:rsidRDefault="00883EDC">
            <w:pPr>
              <w:keepNext/>
              <w:keepLines/>
              <w:spacing w:after="0" w:line="240" w:lineRule="auto"/>
            </w:pPr>
            <w:r>
              <w:rPr>
                <w:sz w:val="18"/>
              </w:rPr>
              <w:t>3</w:t>
            </w:r>
          </w:p>
        </w:tc>
        <w:tc>
          <w:tcPr>
            <w:tcW w:w="1860" w:type="dxa"/>
            <w:tcMar>
              <w:top w:w="0" w:type="dxa"/>
              <w:bottom w:w="0" w:type="dxa"/>
            </w:tcMar>
            <w:vAlign w:val="center"/>
          </w:tcPr>
          <w:p w:rsidR="00361E2F" w:rsidRDefault="00883EDC">
            <w:pPr>
              <w:keepNext/>
              <w:keepLines/>
              <w:spacing w:after="0" w:line="240" w:lineRule="auto"/>
              <w:jc w:val="right"/>
            </w:pPr>
            <w:r>
              <w:rPr>
                <w:sz w:val="18"/>
              </w:rPr>
              <w:t>2.287.119,08</w:t>
            </w:r>
          </w:p>
        </w:tc>
        <w:tc>
          <w:tcPr>
            <w:tcW w:w="1860" w:type="dxa"/>
            <w:tcMar>
              <w:top w:w="0" w:type="dxa"/>
              <w:bottom w:w="0" w:type="dxa"/>
            </w:tcMar>
            <w:vAlign w:val="center"/>
          </w:tcPr>
          <w:p w:rsidR="00361E2F" w:rsidRDefault="00883EDC">
            <w:pPr>
              <w:keepNext/>
              <w:keepLines/>
              <w:spacing w:after="0" w:line="240" w:lineRule="auto"/>
              <w:jc w:val="right"/>
            </w:pPr>
            <w:r>
              <w:rPr>
                <w:sz w:val="18"/>
              </w:rPr>
              <w:t>2.694.611,29</w:t>
            </w:r>
          </w:p>
        </w:tc>
        <w:tc>
          <w:tcPr>
            <w:tcW w:w="700" w:type="dxa"/>
            <w:tcMar>
              <w:top w:w="0" w:type="dxa"/>
              <w:bottom w:w="0" w:type="dxa"/>
            </w:tcMar>
            <w:vAlign w:val="center"/>
          </w:tcPr>
          <w:p w:rsidR="00361E2F" w:rsidRDefault="00883EDC">
            <w:pPr>
              <w:keepNext/>
              <w:keepLines/>
              <w:spacing w:after="0" w:line="240" w:lineRule="auto"/>
              <w:jc w:val="right"/>
            </w:pPr>
            <w:r>
              <w:rPr>
                <w:sz w:val="18"/>
              </w:rPr>
              <w:t>117,8</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b/>
                <w:sz w:val="18"/>
              </w:rPr>
              <w:t>VIŠAK PRIHODA POSLOVANJA (šifre 6-Z005)</w:t>
            </w:r>
          </w:p>
        </w:tc>
        <w:tc>
          <w:tcPr>
            <w:tcW w:w="700" w:type="dxa"/>
            <w:tcMar>
              <w:top w:w="0" w:type="dxa"/>
              <w:bottom w:w="0" w:type="dxa"/>
            </w:tcMar>
            <w:vAlign w:val="center"/>
          </w:tcPr>
          <w:p w:rsidR="00361E2F" w:rsidRDefault="00883EDC">
            <w:pPr>
              <w:keepNext/>
              <w:keepLines/>
              <w:spacing w:after="0" w:line="240" w:lineRule="auto"/>
            </w:pPr>
            <w:r>
              <w:rPr>
                <w:b/>
                <w:sz w:val="18"/>
              </w:rPr>
              <w:t>X001</w:t>
            </w:r>
          </w:p>
        </w:tc>
        <w:tc>
          <w:tcPr>
            <w:tcW w:w="1860" w:type="dxa"/>
            <w:tcMar>
              <w:top w:w="0" w:type="dxa"/>
              <w:bottom w:w="0" w:type="dxa"/>
            </w:tcMar>
            <w:vAlign w:val="center"/>
          </w:tcPr>
          <w:p w:rsidR="00361E2F" w:rsidRDefault="00883EDC">
            <w:pPr>
              <w:keepNext/>
              <w:keepLines/>
              <w:spacing w:after="0" w:line="240" w:lineRule="auto"/>
              <w:jc w:val="right"/>
            </w:pPr>
            <w:r>
              <w:rPr>
                <w:b/>
                <w:sz w:val="18"/>
              </w:rPr>
              <w:t>358.001,16</w:t>
            </w:r>
          </w:p>
        </w:tc>
        <w:tc>
          <w:tcPr>
            <w:tcW w:w="1860" w:type="dxa"/>
            <w:tcMar>
              <w:top w:w="0" w:type="dxa"/>
              <w:bottom w:w="0" w:type="dxa"/>
            </w:tcMar>
            <w:vAlign w:val="center"/>
          </w:tcPr>
          <w:p w:rsidR="00361E2F" w:rsidRDefault="00883EDC">
            <w:pPr>
              <w:keepNext/>
              <w:keepLines/>
              <w:spacing w:after="0" w:line="240" w:lineRule="auto"/>
              <w:jc w:val="right"/>
            </w:pPr>
            <w:r>
              <w:rPr>
                <w:b/>
                <w:sz w:val="18"/>
              </w:rPr>
              <w:t>680.146,03</w:t>
            </w:r>
          </w:p>
        </w:tc>
        <w:tc>
          <w:tcPr>
            <w:tcW w:w="700" w:type="dxa"/>
            <w:tcMar>
              <w:top w:w="0" w:type="dxa"/>
              <w:bottom w:w="0" w:type="dxa"/>
            </w:tcMar>
            <w:vAlign w:val="center"/>
          </w:tcPr>
          <w:p w:rsidR="00361E2F" w:rsidRDefault="00883EDC">
            <w:pPr>
              <w:keepNext/>
              <w:keepLines/>
              <w:spacing w:after="0" w:line="240" w:lineRule="auto"/>
              <w:jc w:val="right"/>
            </w:pPr>
            <w:r>
              <w:rPr>
                <w:b/>
                <w:sz w:val="18"/>
              </w:rPr>
              <w:t>190,0</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7</w:t>
            </w:r>
          </w:p>
        </w:tc>
        <w:tc>
          <w:tcPr>
            <w:tcW w:w="3180" w:type="dxa"/>
            <w:tcMar>
              <w:top w:w="0" w:type="dxa"/>
              <w:bottom w:w="0" w:type="dxa"/>
            </w:tcMar>
            <w:vAlign w:val="center"/>
          </w:tcPr>
          <w:p w:rsidR="00361E2F" w:rsidRDefault="00883ED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361E2F" w:rsidRDefault="00883EDC">
            <w:pPr>
              <w:keepNext/>
              <w:keepLines/>
              <w:spacing w:after="0" w:line="240" w:lineRule="auto"/>
            </w:pPr>
            <w:r>
              <w:rPr>
                <w:sz w:val="18"/>
              </w:rPr>
              <w:t>7</w:t>
            </w:r>
          </w:p>
        </w:tc>
        <w:tc>
          <w:tcPr>
            <w:tcW w:w="1860" w:type="dxa"/>
            <w:tcMar>
              <w:top w:w="0" w:type="dxa"/>
              <w:bottom w:w="0" w:type="dxa"/>
            </w:tcMar>
            <w:vAlign w:val="center"/>
          </w:tcPr>
          <w:p w:rsidR="00361E2F" w:rsidRDefault="00883EDC">
            <w:pPr>
              <w:keepNext/>
              <w:keepLines/>
              <w:spacing w:after="0" w:line="240" w:lineRule="auto"/>
              <w:jc w:val="right"/>
            </w:pPr>
            <w:r>
              <w:rPr>
                <w:sz w:val="18"/>
              </w:rPr>
              <w:t>77.684,23</w:t>
            </w:r>
          </w:p>
        </w:tc>
        <w:tc>
          <w:tcPr>
            <w:tcW w:w="1860" w:type="dxa"/>
            <w:tcMar>
              <w:top w:w="0" w:type="dxa"/>
              <w:bottom w:w="0" w:type="dxa"/>
            </w:tcMar>
            <w:vAlign w:val="center"/>
          </w:tcPr>
          <w:p w:rsidR="00361E2F" w:rsidRDefault="00883EDC">
            <w:pPr>
              <w:keepNext/>
              <w:keepLines/>
              <w:spacing w:after="0" w:line="240" w:lineRule="auto"/>
              <w:jc w:val="right"/>
            </w:pPr>
            <w:r>
              <w:rPr>
                <w:sz w:val="18"/>
              </w:rPr>
              <w:t>159.285,23</w:t>
            </w:r>
          </w:p>
        </w:tc>
        <w:tc>
          <w:tcPr>
            <w:tcW w:w="700" w:type="dxa"/>
            <w:tcMar>
              <w:top w:w="0" w:type="dxa"/>
              <w:bottom w:w="0" w:type="dxa"/>
            </w:tcMar>
            <w:vAlign w:val="center"/>
          </w:tcPr>
          <w:p w:rsidR="00361E2F" w:rsidRDefault="00883EDC">
            <w:pPr>
              <w:keepNext/>
              <w:keepLines/>
              <w:spacing w:after="0" w:line="240" w:lineRule="auto"/>
              <w:jc w:val="right"/>
            </w:pPr>
            <w:r>
              <w:rPr>
                <w:sz w:val="18"/>
              </w:rPr>
              <w:t>205,0</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4</w:t>
            </w:r>
          </w:p>
        </w:tc>
        <w:tc>
          <w:tcPr>
            <w:tcW w:w="3180" w:type="dxa"/>
            <w:tcMar>
              <w:top w:w="0" w:type="dxa"/>
              <w:bottom w:w="0" w:type="dxa"/>
            </w:tcMar>
            <w:vAlign w:val="center"/>
          </w:tcPr>
          <w:p w:rsidR="00361E2F" w:rsidRDefault="00883ED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361E2F" w:rsidRDefault="00883EDC">
            <w:pPr>
              <w:keepNext/>
              <w:keepLines/>
              <w:spacing w:after="0" w:line="240" w:lineRule="auto"/>
            </w:pPr>
            <w:r>
              <w:rPr>
                <w:sz w:val="18"/>
              </w:rPr>
              <w:t>4</w:t>
            </w:r>
          </w:p>
        </w:tc>
        <w:tc>
          <w:tcPr>
            <w:tcW w:w="1860" w:type="dxa"/>
            <w:tcMar>
              <w:top w:w="0" w:type="dxa"/>
              <w:bottom w:w="0" w:type="dxa"/>
            </w:tcMar>
            <w:vAlign w:val="center"/>
          </w:tcPr>
          <w:p w:rsidR="00361E2F" w:rsidRDefault="00883EDC">
            <w:pPr>
              <w:keepNext/>
              <w:keepLines/>
              <w:spacing w:after="0" w:line="240" w:lineRule="auto"/>
              <w:jc w:val="right"/>
            </w:pPr>
            <w:r>
              <w:rPr>
                <w:sz w:val="18"/>
              </w:rPr>
              <w:t>951.158,59</w:t>
            </w:r>
          </w:p>
        </w:tc>
        <w:tc>
          <w:tcPr>
            <w:tcW w:w="1860" w:type="dxa"/>
            <w:tcMar>
              <w:top w:w="0" w:type="dxa"/>
              <w:bottom w:w="0" w:type="dxa"/>
            </w:tcMar>
            <w:vAlign w:val="center"/>
          </w:tcPr>
          <w:p w:rsidR="00361E2F" w:rsidRDefault="00883EDC">
            <w:pPr>
              <w:keepNext/>
              <w:keepLines/>
              <w:spacing w:after="0" w:line="240" w:lineRule="auto"/>
              <w:jc w:val="right"/>
            </w:pPr>
            <w:r>
              <w:rPr>
                <w:sz w:val="18"/>
              </w:rPr>
              <w:t>550.167,95</w:t>
            </w:r>
          </w:p>
        </w:tc>
        <w:tc>
          <w:tcPr>
            <w:tcW w:w="700" w:type="dxa"/>
            <w:tcMar>
              <w:top w:w="0" w:type="dxa"/>
              <w:bottom w:w="0" w:type="dxa"/>
            </w:tcMar>
            <w:vAlign w:val="center"/>
          </w:tcPr>
          <w:p w:rsidR="00361E2F" w:rsidRDefault="00883EDC">
            <w:pPr>
              <w:keepNext/>
              <w:keepLines/>
              <w:spacing w:after="0" w:line="240" w:lineRule="auto"/>
              <w:jc w:val="right"/>
            </w:pPr>
            <w:r>
              <w:rPr>
                <w:sz w:val="18"/>
              </w:rPr>
              <w:t>57,8</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361E2F" w:rsidRDefault="00883EDC">
            <w:pPr>
              <w:keepNext/>
              <w:keepLines/>
              <w:spacing w:after="0" w:line="240" w:lineRule="auto"/>
            </w:pPr>
            <w:r>
              <w:rPr>
                <w:b/>
                <w:sz w:val="18"/>
              </w:rPr>
              <w:t>Y002</w:t>
            </w:r>
          </w:p>
        </w:tc>
        <w:tc>
          <w:tcPr>
            <w:tcW w:w="1860" w:type="dxa"/>
            <w:tcMar>
              <w:top w:w="0" w:type="dxa"/>
              <w:bottom w:w="0" w:type="dxa"/>
            </w:tcMar>
            <w:vAlign w:val="center"/>
          </w:tcPr>
          <w:p w:rsidR="00361E2F" w:rsidRDefault="00883EDC">
            <w:pPr>
              <w:keepNext/>
              <w:keepLines/>
              <w:spacing w:after="0" w:line="240" w:lineRule="auto"/>
              <w:jc w:val="right"/>
            </w:pPr>
            <w:r>
              <w:rPr>
                <w:b/>
                <w:sz w:val="18"/>
              </w:rPr>
              <w:t>873.474,36</w:t>
            </w:r>
          </w:p>
        </w:tc>
        <w:tc>
          <w:tcPr>
            <w:tcW w:w="1860" w:type="dxa"/>
            <w:tcMar>
              <w:top w:w="0" w:type="dxa"/>
              <w:bottom w:w="0" w:type="dxa"/>
            </w:tcMar>
            <w:vAlign w:val="center"/>
          </w:tcPr>
          <w:p w:rsidR="00361E2F" w:rsidRDefault="00883EDC">
            <w:pPr>
              <w:keepNext/>
              <w:keepLines/>
              <w:spacing w:after="0" w:line="240" w:lineRule="auto"/>
              <w:jc w:val="right"/>
            </w:pPr>
            <w:r>
              <w:rPr>
                <w:b/>
                <w:sz w:val="18"/>
              </w:rPr>
              <w:t>390.882,72</w:t>
            </w:r>
          </w:p>
        </w:tc>
        <w:tc>
          <w:tcPr>
            <w:tcW w:w="700" w:type="dxa"/>
            <w:tcMar>
              <w:top w:w="0" w:type="dxa"/>
              <w:bottom w:w="0" w:type="dxa"/>
            </w:tcMar>
            <w:vAlign w:val="center"/>
          </w:tcPr>
          <w:p w:rsidR="00361E2F" w:rsidRDefault="00883EDC">
            <w:pPr>
              <w:keepNext/>
              <w:keepLines/>
              <w:spacing w:after="0" w:line="240" w:lineRule="auto"/>
              <w:jc w:val="right"/>
            </w:pPr>
            <w:r>
              <w:rPr>
                <w:b/>
                <w:sz w:val="18"/>
              </w:rPr>
              <w:t>44,8</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8</w:t>
            </w:r>
          </w:p>
        </w:tc>
        <w:tc>
          <w:tcPr>
            <w:tcW w:w="3180" w:type="dxa"/>
            <w:tcMar>
              <w:top w:w="0" w:type="dxa"/>
              <w:bottom w:w="0" w:type="dxa"/>
            </w:tcMar>
            <w:vAlign w:val="center"/>
          </w:tcPr>
          <w:p w:rsidR="00361E2F" w:rsidRDefault="00883ED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361E2F" w:rsidRDefault="00883EDC">
            <w:pPr>
              <w:keepNext/>
              <w:keepLines/>
              <w:spacing w:after="0" w:line="240" w:lineRule="auto"/>
            </w:pPr>
            <w:r>
              <w:rPr>
                <w:sz w:val="18"/>
              </w:rPr>
              <w:t>8</w:t>
            </w:r>
          </w:p>
        </w:tc>
        <w:tc>
          <w:tcPr>
            <w:tcW w:w="1860" w:type="dxa"/>
            <w:tcMar>
              <w:top w:w="0" w:type="dxa"/>
              <w:bottom w:w="0" w:type="dxa"/>
            </w:tcMar>
            <w:vAlign w:val="center"/>
          </w:tcPr>
          <w:p w:rsidR="00361E2F" w:rsidRDefault="00883EDC">
            <w:pPr>
              <w:keepNext/>
              <w:keepLines/>
              <w:spacing w:after="0" w:line="240" w:lineRule="auto"/>
              <w:jc w:val="right"/>
            </w:pPr>
            <w:r>
              <w:rPr>
                <w:sz w:val="18"/>
              </w:rPr>
              <w:t>496.871,17</w:t>
            </w:r>
          </w:p>
        </w:tc>
        <w:tc>
          <w:tcPr>
            <w:tcW w:w="1860" w:type="dxa"/>
            <w:tcMar>
              <w:top w:w="0" w:type="dxa"/>
              <w:bottom w:w="0" w:type="dxa"/>
            </w:tcMar>
            <w:vAlign w:val="center"/>
          </w:tcPr>
          <w:p w:rsidR="00361E2F" w:rsidRDefault="00883EDC">
            <w:pPr>
              <w:keepNext/>
              <w:keepLines/>
              <w:spacing w:after="0" w:line="240" w:lineRule="auto"/>
              <w:jc w:val="right"/>
            </w:pPr>
            <w:r>
              <w:rPr>
                <w:sz w:val="18"/>
              </w:rPr>
              <w:t>0,00</w:t>
            </w:r>
          </w:p>
        </w:tc>
        <w:tc>
          <w:tcPr>
            <w:tcW w:w="700" w:type="dxa"/>
            <w:tcMar>
              <w:top w:w="0" w:type="dxa"/>
              <w:bottom w:w="0" w:type="dxa"/>
            </w:tcMar>
            <w:vAlign w:val="center"/>
          </w:tcPr>
          <w:p w:rsidR="00361E2F" w:rsidRDefault="00883EDC">
            <w:pPr>
              <w:keepNext/>
              <w:keepLines/>
              <w:spacing w:after="0" w:line="240" w:lineRule="auto"/>
              <w:jc w:val="right"/>
            </w:pPr>
            <w:r>
              <w:rPr>
                <w:sz w:val="18"/>
              </w:rPr>
              <w:t>0</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5</w:t>
            </w:r>
          </w:p>
        </w:tc>
        <w:tc>
          <w:tcPr>
            <w:tcW w:w="3180" w:type="dxa"/>
            <w:tcMar>
              <w:top w:w="0" w:type="dxa"/>
              <w:bottom w:w="0" w:type="dxa"/>
            </w:tcMar>
            <w:vAlign w:val="center"/>
          </w:tcPr>
          <w:p w:rsidR="00361E2F" w:rsidRDefault="00883ED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361E2F" w:rsidRDefault="00883EDC">
            <w:pPr>
              <w:keepNext/>
              <w:keepLines/>
              <w:spacing w:after="0" w:line="240" w:lineRule="auto"/>
            </w:pPr>
            <w:r>
              <w:rPr>
                <w:sz w:val="18"/>
              </w:rPr>
              <w:t>5</w:t>
            </w:r>
          </w:p>
        </w:tc>
        <w:tc>
          <w:tcPr>
            <w:tcW w:w="1860" w:type="dxa"/>
            <w:tcMar>
              <w:top w:w="0" w:type="dxa"/>
              <w:bottom w:w="0" w:type="dxa"/>
            </w:tcMar>
            <w:vAlign w:val="center"/>
          </w:tcPr>
          <w:p w:rsidR="00361E2F" w:rsidRDefault="00883EDC">
            <w:pPr>
              <w:keepNext/>
              <w:keepLines/>
              <w:spacing w:after="0" w:line="240" w:lineRule="auto"/>
              <w:jc w:val="right"/>
            </w:pPr>
            <w:r>
              <w:rPr>
                <w:sz w:val="18"/>
              </w:rPr>
              <w:t>101.908,62</w:t>
            </w:r>
          </w:p>
        </w:tc>
        <w:tc>
          <w:tcPr>
            <w:tcW w:w="1860" w:type="dxa"/>
            <w:tcMar>
              <w:top w:w="0" w:type="dxa"/>
              <w:bottom w:w="0" w:type="dxa"/>
            </w:tcMar>
            <w:vAlign w:val="center"/>
          </w:tcPr>
          <w:p w:rsidR="00361E2F" w:rsidRDefault="00883EDC">
            <w:pPr>
              <w:keepNext/>
              <w:keepLines/>
              <w:spacing w:after="0" w:line="240" w:lineRule="auto"/>
              <w:jc w:val="right"/>
            </w:pPr>
            <w:r>
              <w:rPr>
                <w:sz w:val="18"/>
              </w:rPr>
              <w:t>98.769,14</w:t>
            </w:r>
          </w:p>
        </w:tc>
        <w:tc>
          <w:tcPr>
            <w:tcW w:w="700" w:type="dxa"/>
            <w:tcMar>
              <w:top w:w="0" w:type="dxa"/>
              <w:bottom w:w="0" w:type="dxa"/>
            </w:tcMar>
            <w:vAlign w:val="center"/>
          </w:tcPr>
          <w:p w:rsidR="00361E2F" w:rsidRDefault="00883EDC">
            <w:pPr>
              <w:keepNext/>
              <w:keepLines/>
              <w:spacing w:after="0" w:line="240" w:lineRule="auto"/>
              <w:jc w:val="right"/>
            </w:pPr>
            <w:r>
              <w:rPr>
                <w:sz w:val="18"/>
              </w:rPr>
              <w:t>96,9</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361E2F" w:rsidRDefault="00883EDC">
            <w:pPr>
              <w:keepNext/>
              <w:keepLines/>
              <w:spacing w:after="0" w:line="240" w:lineRule="auto"/>
            </w:pPr>
            <w:r>
              <w:rPr>
                <w:b/>
                <w:sz w:val="18"/>
              </w:rPr>
              <w:t>Y003</w:t>
            </w:r>
          </w:p>
        </w:tc>
        <w:tc>
          <w:tcPr>
            <w:tcW w:w="1860" w:type="dxa"/>
            <w:tcMar>
              <w:top w:w="0" w:type="dxa"/>
              <w:bottom w:w="0" w:type="dxa"/>
            </w:tcMar>
            <w:vAlign w:val="center"/>
          </w:tcPr>
          <w:p w:rsidR="00361E2F" w:rsidRDefault="00883EDC">
            <w:pPr>
              <w:keepNext/>
              <w:keepLines/>
              <w:spacing w:after="0" w:line="240" w:lineRule="auto"/>
              <w:jc w:val="right"/>
            </w:pPr>
            <w:r>
              <w:rPr>
                <w:b/>
                <w:sz w:val="18"/>
              </w:rPr>
              <w:t>0,00</w:t>
            </w:r>
          </w:p>
        </w:tc>
        <w:tc>
          <w:tcPr>
            <w:tcW w:w="1860" w:type="dxa"/>
            <w:tcMar>
              <w:top w:w="0" w:type="dxa"/>
              <w:bottom w:w="0" w:type="dxa"/>
            </w:tcMar>
            <w:vAlign w:val="center"/>
          </w:tcPr>
          <w:p w:rsidR="00361E2F" w:rsidRDefault="00883EDC">
            <w:pPr>
              <w:keepNext/>
              <w:keepLines/>
              <w:spacing w:after="0" w:line="240" w:lineRule="auto"/>
              <w:jc w:val="right"/>
            </w:pPr>
            <w:r>
              <w:rPr>
                <w:b/>
                <w:sz w:val="18"/>
              </w:rPr>
              <w:t>98.769,14</w:t>
            </w:r>
          </w:p>
        </w:tc>
        <w:tc>
          <w:tcPr>
            <w:tcW w:w="700" w:type="dxa"/>
            <w:tcMar>
              <w:top w:w="0" w:type="dxa"/>
              <w:bottom w:w="0" w:type="dxa"/>
            </w:tcMar>
            <w:vAlign w:val="center"/>
          </w:tcPr>
          <w:p w:rsidR="00361E2F" w:rsidRDefault="00883EDC">
            <w:pPr>
              <w:keepNext/>
              <w:keepLines/>
              <w:spacing w:after="0" w:line="240" w:lineRule="auto"/>
              <w:jc w:val="right"/>
            </w:pPr>
            <w:r>
              <w:rPr>
                <w:b/>
                <w:sz w:val="18"/>
              </w:rPr>
              <w:t>-</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b/>
                <w:sz w:val="18"/>
              </w:rPr>
              <w:t>VIŠAK PRIHODA I PRIMITAKA (šifre X678-Y345)</w:t>
            </w:r>
          </w:p>
        </w:tc>
        <w:tc>
          <w:tcPr>
            <w:tcW w:w="700" w:type="dxa"/>
            <w:tcMar>
              <w:top w:w="0" w:type="dxa"/>
              <w:bottom w:w="0" w:type="dxa"/>
            </w:tcMar>
            <w:vAlign w:val="center"/>
          </w:tcPr>
          <w:p w:rsidR="00361E2F" w:rsidRDefault="00883EDC">
            <w:pPr>
              <w:keepNext/>
              <w:keepLines/>
              <w:spacing w:after="0" w:line="240" w:lineRule="auto"/>
            </w:pPr>
            <w:r>
              <w:rPr>
                <w:b/>
                <w:sz w:val="18"/>
              </w:rPr>
              <w:t>X005</w:t>
            </w:r>
          </w:p>
        </w:tc>
        <w:tc>
          <w:tcPr>
            <w:tcW w:w="1860" w:type="dxa"/>
            <w:tcMar>
              <w:top w:w="0" w:type="dxa"/>
              <w:bottom w:w="0" w:type="dxa"/>
            </w:tcMar>
            <w:vAlign w:val="center"/>
          </w:tcPr>
          <w:p w:rsidR="00361E2F" w:rsidRDefault="00883EDC">
            <w:pPr>
              <w:keepNext/>
              <w:keepLines/>
              <w:spacing w:after="0" w:line="240" w:lineRule="auto"/>
              <w:jc w:val="right"/>
            </w:pPr>
            <w:r>
              <w:rPr>
                <w:b/>
                <w:sz w:val="18"/>
              </w:rPr>
              <w:t>0,00</w:t>
            </w:r>
          </w:p>
        </w:tc>
        <w:tc>
          <w:tcPr>
            <w:tcW w:w="1860" w:type="dxa"/>
            <w:tcMar>
              <w:top w:w="0" w:type="dxa"/>
              <w:bottom w:w="0" w:type="dxa"/>
            </w:tcMar>
            <w:vAlign w:val="center"/>
          </w:tcPr>
          <w:p w:rsidR="00361E2F" w:rsidRDefault="00883EDC">
            <w:pPr>
              <w:keepNext/>
              <w:keepLines/>
              <w:spacing w:after="0" w:line="240" w:lineRule="auto"/>
              <w:jc w:val="right"/>
            </w:pPr>
            <w:r>
              <w:rPr>
                <w:b/>
                <w:sz w:val="18"/>
              </w:rPr>
              <w:t>190.494,17</w:t>
            </w:r>
          </w:p>
        </w:tc>
        <w:tc>
          <w:tcPr>
            <w:tcW w:w="700" w:type="dxa"/>
            <w:tcMar>
              <w:top w:w="0" w:type="dxa"/>
              <w:bottom w:w="0" w:type="dxa"/>
            </w:tcMar>
            <w:vAlign w:val="center"/>
          </w:tcPr>
          <w:p w:rsidR="00361E2F" w:rsidRDefault="00883EDC">
            <w:pPr>
              <w:keepNext/>
              <w:keepLines/>
              <w:spacing w:after="0" w:line="240" w:lineRule="auto"/>
              <w:jc w:val="right"/>
            </w:pPr>
            <w:r>
              <w:rPr>
                <w:b/>
                <w:sz w:val="18"/>
              </w:rPr>
              <w:t>-</w:t>
            </w:r>
          </w:p>
        </w:tc>
      </w:tr>
    </w:tbl>
    <w:p w:rsidR="00361E2F" w:rsidRDefault="00361E2F">
      <w:pPr>
        <w:spacing w:after="0"/>
      </w:pPr>
    </w:p>
    <w:p w:rsidR="00361E2F" w:rsidRDefault="00883EDC">
      <w:pPr>
        <w:jc w:val="both"/>
      </w:pPr>
      <w:r>
        <w:t>Prihodi poslovanja u razdoblju od 1. siječnja do 31. prosinca 2025. godine ostvareni su u iznosu od 3.374.757,32 eura što je za 27,6 % više u odnosu na 2025. godinu i najveći udio povećanje se odnosi u stavkama poreza na dohodak od kapitala, prihodi pomoći od izvanproračunskih korisnika, tekuće pomoći temeljem prijenosa EU sredstava i prihoda od imovine</w:t>
      </w:r>
    </w:p>
    <w:p w:rsidR="00361E2F" w:rsidRDefault="00883EDC">
      <w:pPr>
        <w:jc w:val="both"/>
      </w:pPr>
      <w:r>
        <w:t xml:space="preserve">Rashodi poslovanja u izvještajnom razdoblju ostvareni su u iznosu od 2.694.611,29 eura što je za 17,8 % više u odnosu na isto razdoblje 2025. godine. Na povećanje rashoda poslovanja </w:t>
      </w:r>
      <w:r>
        <w:lastRenderedPageBreak/>
        <w:t>najviše je utjecao porast plaća zaposlenih, porast materijalnih troškova za zaposlene (naknada za prijevoz), povrat poreza na dohodak po godišnjoj poreznoj prijavi, te troškovi za provođenje lokaln</w:t>
      </w:r>
      <w:r w:rsidR="00712C3D">
        <w:t>i</w:t>
      </w:r>
      <w:r>
        <w:t>h izbora.</w:t>
      </w:r>
    </w:p>
    <w:p w:rsidR="00361E2F" w:rsidRDefault="00883EDC">
      <w:pPr>
        <w:jc w:val="both"/>
      </w:pPr>
      <w:r>
        <w:t>Prihodi od prodaje nefinancijske imovine ostvareni su u iznosu od 159.285,23 eura što predstavlja povećanje prihoda od 105,00 % u odnosu na 2024. godinu. Ostvareni prihodi odnose se na ostvarene prihode po kupoprodaji zemljišta po raspisanim natječajima u 2024. i 2025. godini. </w:t>
      </w:r>
    </w:p>
    <w:p w:rsidR="00361E2F" w:rsidRDefault="00883EDC">
      <w:pPr>
        <w:jc w:val="both"/>
      </w:pPr>
      <w:r>
        <w:t>Istovremeno, rashodi za nabavu nefinancijske imovine ostvareni su u iznosu od 550.167,95 eura što predstavlja smanjenje za 42,20 % u odnosu na isto razdoblje prošle godine. Do smanjenja ove vrste rashoda u odnosu na prethodnu godinu je došlo zbog nižeg ostvarenja prihoda u odnosu na plan, odnosno izostanak kapitalnih pomoći iz državnog i županijskog proračuna za kandidirane projekte u planiranom iznosu.  </w:t>
      </w:r>
    </w:p>
    <w:p w:rsidR="00361E2F" w:rsidRDefault="00883EDC">
      <w:pPr>
        <w:jc w:val="both"/>
      </w:pPr>
      <w:r>
        <w:t xml:space="preserve">Ukupni primici od financijske imovine i zaduživanja u izvještajnom razdoblju se nisu planirani, pa samim time nisu ni realizirani. Ukupni izdaci za financijsku imovinu i otplate zajmova ostvareni su u iznosu od 98.769,14 eura ili 96,90 % od plana, te se isti odnose na otplatu dugoročnih kredita Općine </w:t>
      </w:r>
      <w:proofErr w:type="spellStart"/>
      <w:r>
        <w:t>Fužine</w:t>
      </w:r>
      <w:proofErr w:type="spellEnd"/>
      <w:r>
        <w:t>.  </w:t>
      </w:r>
    </w:p>
    <w:p w:rsidR="00361E2F" w:rsidRDefault="00883EDC">
      <w:pPr>
        <w:jc w:val="both"/>
      </w:pPr>
      <w:r>
        <w:t xml:space="preserve">U izvještajnom razdoblju ostvaren je višak prihoda i primitaka na dan 31. prosinca 2025. godine u iznosu od 190.494,17 eura i to zbog veće realizacije prihoda od prodaje nekretnina </w:t>
      </w:r>
      <w:r w:rsidR="00712C3D">
        <w:t xml:space="preserve">po raspisanim natječajima iz </w:t>
      </w:r>
      <w:proofErr w:type="spellStart"/>
      <w:r w:rsidR="00712C3D">
        <w:t>predhodne</w:t>
      </w:r>
      <w:proofErr w:type="spellEnd"/>
      <w:r w:rsidR="00712C3D">
        <w:t xml:space="preserve"> </w:t>
      </w:r>
      <w:r>
        <w:t>godine, prihoda temeljem prijenosa EU za realizirane projekte iz prethodnih godina i povećanjem prihoda od komunalne naknade zbog povećanja vrijednosti boda u 2025. godini.</w:t>
      </w:r>
    </w:p>
    <w:p w:rsidR="00712C3D" w:rsidRDefault="00712C3D">
      <w:pPr>
        <w:keepNext/>
        <w:spacing w:line="240" w:lineRule="auto"/>
        <w:jc w:val="center"/>
        <w:rPr>
          <w:sz w:val="28"/>
        </w:rPr>
      </w:pPr>
    </w:p>
    <w:p w:rsidR="00361E2F" w:rsidRDefault="00883ED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611</w:t>
            </w:r>
          </w:p>
        </w:tc>
        <w:tc>
          <w:tcPr>
            <w:tcW w:w="3180" w:type="dxa"/>
            <w:tcMar>
              <w:top w:w="0" w:type="dxa"/>
              <w:bottom w:w="0" w:type="dxa"/>
            </w:tcMar>
            <w:vAlign w:val="center"/>
          </w:tcPr>
          <w:p w:rsidR="00361E2F" w:rsidRDefault="00883EDC">
            <w:pPr>
              <w:keepNext/>
              <w:keepLines/>
              <w:spacing w:after="0" w:line="240" w:lineRule="auto"/>
            </w:pPr>
            <w:r>
              <w:rPr>
                <w:sz w:val="18"/>
              </w:rPr>
              <w:t>Porez na dohodak (šifre 6111 do 6116 - 6117 - 6119)</w:t>
            </w:r>
          </w:p>
        </w:tc>
        <w:tc>
          <w:tcPr>
            <w:tcW w:w="700" w:type="dxa"/>
            <w:tcMar>
              <w:top w:w="0" w:type="dxa"/>
              <w:bottom w:w="0" w:type="dxa"/>
            </w:tcMar>
            <w:vAlign w:val="center"/>
          </w:tcPr>
          <w:p w:rsidR="00361E2F" w:rsidRDefault="00883EDC">
            <w:pPr>
              <w:keepNext/>
              <w:keepLines/>
              <w:spacing w:after="0" w:line="240" w:lineRule="auto"/>
            </w:pPr>
            <w:r>
              <w:rPr>
                <w:sz w:val="18"/>
              </w:rPr>
              <w:t>611</w:t>
            </w:r>
          </w:p>
        </w:tc>
        <w:tc>
          <w:tcPr>
            <w:tcW w:w="1860" w:type="dxa"/>
            <w:tcMar>
              <w:top w:w="0" w:type="dxa"/>
              <w:bottom w:w="0" w:type="dxa"/>
            </w:tcMar>
            <w:vAlign w:val="center"/>
          </w:tcPr>
          <w:p w:rsidR="00361E2F" w:rsidRDefault="00883EDC">
            <w:pPr>
              <w:keepNext/>
              <w:keepLines/>
              <w:spacing w:after="0" w:line="240" w:lineRule="auto"/>
              <w:jc w:val="right"/>
            </w:pPr>
            <w:r>
              <w:rPr>
                <w:sz w:val="18"/>
              </w:rPr>
              <w:t>918.307,95</w:t>
            </w:r>
          </w:p>
        </w:tc>
        <w:tc>
          <w:tcPr>
            <w:tcW w:w="1860" w:type="dxa"/>
            <w:tcMar>
              <w:top w:w="0" w:type="dxa"/>
              <w:bottom w:w="0" w:type="dxa"/>
            </w:tcMar>
            <w:vAlign w:val="center"/>
          </w:tcPr>
          <w:p w:rsidR="00361E2F" w:rsidRDefault="00883EDC">
            <w:pPr>
              <w:keepNext/>
              <w:keepLines/>
              <w:spacing w:after="0" w:line="240" w:lineRule="auto"/>
              <w:jc w:val="right"/>
            </w:pPr>
            <w:r>
              <w:rPr>
                <w:sz w:val="18"/>
              </w:rPr>
              <w:t>1.093.672,73</w:t>
            </w:r>
          </w:p>
        </w:tc>
        <w:tc>
          <w:tcPr>
            <w:tcW w:w="700" w:type="dxa"/>
            <w:tcMar>
              <w:top w:w="0" w:type="dxa"/>
              <w:bottom w:w="0" w:type="dxa"/>
            </w:tcMar>
            <w:vAlign w:val="center"/>
          </w:tcPr>
          <w:p w:rsidR="00361E2F" w:rsidRDefault="00883EDC">
            <w:pPr>
              <w:keepNext/>
              <w:keepLines/>
              <w:spacing w:after="0" w:line="240" w:lineRule="auto"/>
              <w:jc w:val="right"/>
            </w:pPr>
            <w:r>
              <w:rPr>
                <w:sz w:val="18"/>
              </w:rPr>
              <w:t>119,1</w:t>
            </w:r>
          </w:p>
        </w:tc>
      </w:tr>
    </w:tbl>
    <w:p w:rsidR="00361E2F" w:rsidRDefault="00361E2F">
      <w:pPr>
        <w:spacing w:after="0"/>
      </w:pPr>
    </w:p>
    <w:p w:rsidR="00361E2F" w:rsidRDefault="00883EDC">
      <w:r>
        <w:t>Porez na dohodak ostvaren je u iznosu od 1.093.672,73 eura ili za 19,1 % više u odnosu na plan iz prethodne godine. Obuhvaća sljedeće skupine poreza na dohodak:</w:t>
      </w:r>
    </w:p>
    <w:p w:rsidR="00361E2F" w:rsidRDefault="00883EDC">
      <w:r>
        <w:t> </w:t>
      </w:r>
    </w:p>
    <w:p w:rsidR="00361E2F" w:rsidRDefault="00883EDC">
      <w:r>
        <w:t xml:space="preserve">            - porez na dohodak od nesamostalnog rada                                 </w:t>
      </w:r>
      <w:r w:rsidR="00712C3D">
        <w:t xml:space="preserve"> </w:t>
      </w:r>
      <w:r>
        <w:t>       864.354,14 eura</w:t>
      </w:r>
    </w:p>
    <w:p w:rsidR="00361E2F" w:rsidRDefault="00883EDC">
      <w:r>
        <w:t>            - porez na dohodak od samostalnih djelatnosti                                      80.945,74 eura</w:t>
      </w:r>
    </w:p>
    <w:p w:rsidR="00361E2F" w:rsidRDefault="00883EDC">
      <w:r>
        <w:t>            - porez na dohodak od imovine i imovinskih prava                               52.936,47 eura</w:t>
      </w:r>
    </w:p>
    <w:p w:rsidR="00361E2F" w:rsidRDefault="00883EDC">
      <w:r>
        <w:t xml:space="preserve">            - porez na dohodak po </w:t>
      </w:r>
      <w:proofErr w:type="spellStart"/>
      <w:r>
        <w:t>godišnjo</w:t>
      </w:r>
      <w:proofErr w:type="spellEnd"/>
      <w:r>
        <w:t xml:space="preserve"> prijavi                                                 28.881,93 eura</w:t>
      </w:r>
    </w:p>
    <w:p w:rsidR="00361E2F" w:rsidRDefault="00883EDC">
      <w:r>
        <w:t xml:space="preserve">            - porez na dohodak od kapitala                                                   </w:t>
      </w:r>
      <w:r w:rsidR="00712C3D">
        <w:t xml:space="preserve"> </w:t>
      </w:r>
      <w:r>
        <w:t xml:space="preserve">         66.554,45  eura</w:t>
      </w:r>
    </w:p>
    <w:p w:rsidR="00361E2F" w:rsidRDefault="00883EDC">
      <w:r>
        <w:t>                                                                                                 Ukupno:       1.093.672,73 eura.</w:t>
      </w:r>
    </w:p>
    <w:p w:rsidR="00361E2F" w:rsidRDefault="00883EDC">
      <w:r>
        <w:t> </w:t>
      </w:r>
    </w:p>
    <w:p w:rsidR="00361E2F" w:rsidRDefault="00883EDC" w:rsidP="00712C3D">
      <w:pPr>
        <w:jc w:val="both"/>
      </w:pPr>
      <w:r>
        <w:lastRenderedPageBreak/>
        <w:t xml:space="preserve">Povećanje u odnosu na prethodnu godinu posljedica je povećanja plaća u javnom i privatnom sektoru te promjena mjesta prebivališta na području Općine </w:t>
      </w:r>
      <w:proofErr w:type="spellStart"/>
      <w:r>
        <w:t>Fužine</w:t>
      </w:r>
      <w:proofErr w:type="spellEnd"/>
      <w:r>
        <w:t>.</w:t>
      </w:r>
    </w:p>
    <w:p w:rsidR="00361E2F" w:rsidRDefault="00883EDC">
      <w:r>
        <w:t> </w:t>
      </w:r>
    </w:p>
    <w:p w:rsidR="00361E2F" w:rsidRDefault="00883ED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613</w:t>
            </w:r>
          </w:p>
        </w:tc>
        <w:tc>
          <w:tcPr>
            <w:tcW w:w="3180" w:type="dxa"/>
            <w:tcMar>
              <w:top w:w="0" w:type="dxa"/>
              <w:bottom w:w="0" w:type="dxa"/>
            </w:tcMar>
            <w:vAlign w:val="center"/>
          </w:tcPr>
          <w:p w:rsidR="00361E2F" w:rsidRDefault="00883EDC">
            <w:pPr>
              <w:keepNext/>
              <w:keepLines/>
              <w:spacing w:after="0" w:line="240" w:lineRule="auto"/>
            </w:pPr>
            <w:r>
              <w:rPr>
                <w:sz w:val="18"/>
              </w:rPr>
              <w:t>Porezi na imovinu (šifre 6131 do 6135)</w:t>
            </w:r>
          </w:p>
        </w:tc>
        <w:tc>
          <w:tcPr>
            <w:tcW w:w="700" w:type="dxa"/>
            <w:tcMar>
              <w:top w:w="0" w:type="dxa"/>
              <w:bottom w:w="0" w:type="dxa"/>
            </w:tcMar>
            <w:vAlign w:val="center"/>
          </w:tcPr>
          <w:p w:rsidR="00361E2F" w:rsidRDefault="00883EDC">
            <w:pPr>
              <w:keepNext/>
              <w:keepLines/>
              <w:spacing w:after="0" w:line="240" w:lineRule="auto"/>
            </w:pPr>
            <w:r>
              <w:rPr>
                <w:sz w:val="18"/>
              </w:rPr>
              <w:t>613</w:t>
            </w:r>
          </w:p>
        </w:tc>
        <w:tc>
          <w:tcPr>
            <w:tcW w:w="1860" w:type="dxa"/>
            <w:tcMar>
              <w:top w:w="0" w:type="dxa"/>
              <w:bottom w:w="0" w:type="dxa"/>
            </w:tcMar>
            <w:vAlign w:val="center"/>
          </w:tcPr>
          <w:p w:rsidR="00361E2F" w:rsidRDefault="00883EDC">
            <w:pPr>
              <w:keepNext/>
              <w:keepLines/>
              <w:spacing w:after="0" w:line="240" w:lineRule="auto"/>
              <w:jc w:val="right"/>
            </w:pPr>
            <w:r>
              <w:rPr>
                <w:sz w:val="18"/>
              </w:rPr>
              <w:t>238.198,40</w:t>
            </w:r>
          </w:p>
        </w:tc>
        <w:tc>
          <w:tcPr>
            <w:tcW w:w="1860" w:type="dxa"/>
            <w:tcMar>
              <w:top w:w="0" w:type="dxa"/>
              <w:bottom w:w="0" w:type="dxa"/>
            </w:tcMar>
            <w:vAlign w:val="center"/>
          </w:tcPr>
          <w:p w:rsidR="00361E2F" w:rsidRDefault="00883EDC">
            <w:pPr>
              <w:keepNext/>
              <w:keepLines/>
              <w:spacing w:after="0" w:line="240" w:lineRule="auto"/>
              <w:jc w:val="right"/>
            </w:pPr>
            <w:r>
              <w:rPr>
                <w:sz w:val="18"/>
              </w:rPr>
              <w:t>269.179,07</w:t>
            </w:r>
          </w:p>
        </w:tc>
        <w:tc>
          <w:tcPr>
            <w:tcW w:w="700" w:type="dxa"/>
            <w:tcMar>
              <w:top w:w="0" w:type="dxa"/>
              <w:bottom w:w="0" w:type="dxa"/>
            </w:tcMar>
            <w:vAlign w:val="center"/>
          </w:tcPr>
          <w:p w:rsidR="00361E2F" w:rsidRDefault="00883EDC">
            <w:pPr>
              <w:keepNext/>
              <w:keepLines/>
              <w:spacing w:after="0" w:line="240" w:lineRule="auto"/>
              <w:jc w:val="right"/>
            </w:pPr>
            <w:r>
              <w:rPr>
                <w:sz w:val="18"/>
              </w:rPr>
              <w:t>113,0</w:t>
            </w:r>
          </w:p>
        </w:tc>
      </w:tr>
    </w:tbl>
    <w:p w:rsidR="00361E2F" w:rsidRDefault="00361E2F">
      <w:pPr>
        <w:spacing w:after="0"/>
      </w:pPr>
    </w:p>
    <w:p w:rsidR="00361E2F" w:rsidRDefault="00883EDC">
      <w:r>
        <w:t>Šifra 613 – Porezi na imovinu obuhvaćaju sljedeće poreze:</w:t>
      </w:r>
    </w:p>
    <w:p w:rsidR="00361E2F" w:rsidRDefault="00883EDC">
      <w:r>
        <w:t>                                                                           </w:t>
      </w:r>
    </w:p>
    <w:p w:rsidR="00361E2F" w:rsidRDefault="00883EDC">
      <w:r>
        <w:t xml:space="preserve">- porez na kuće za odmor (šifra 6131)                                              </w:t>
      </w:r>
      <w:r w:rsidR="00712C3D">
        <w:t xml:space="preserve">          </w:t>
      </w:r>
      <w:r>
        <w:t xml:space="preserve">       6.501,88  eura </w:t>
      </w:r>
    </w:p>
    <w:p w:rsidR="00361E2F" w:rsidRDefault="00883EDC">
      <w:r>
        <w:t xml:space="preserve">- porez na nekretnine (šifra 6131)                                                       </w:t>
      </w:r>
      <w:r w:rsidR="00712C3D">
        <w:t xml:space="preserve">         </w:t>
      </w:r>
      <w:r>
        <w:t>    79.840,15  eura </w:t>
      </w:r>
    </w:p>
    <w:p w:rsidR="00361E2F" w:rsidRDefault="00883EDC">
      <w:r>
        <w:t xml:space="preserve">- porez na promet nekretnina (šifra 6134)                                           </w:t>
      </w:r>
      <w:r w:rsidR="00712C3D">
        <w:t xml:space="preserve">          </w:t>
      </w:r>
      <w:r>
        <w:t> 182.837,04  eura   </w:t>
      </w:r>
    </w:p>
    <w:p w:rsidR="00361E2F" w:rsidRDefault="00883EDC">
      <w:r>
        <w:t xml:space="preserve">                                                                                    Ukupno:       </w:t>
      </w:r>
      <w:r w:rsidR="00712C3D">
        <w:t xml:space="preserve">           </w:t>
      </w:r>
      <w:r>
        <w:t>     269.179,07 eura. </w:t>
      </w:r>
    </w:p>
    <w:p w:rsidR="00361E2F" w:rsidRDefault="00883EDC">
      <w:r>
        <w:t> </w:t>
      </w:r>
    </w:p>
    <w:p w:rsidR="00361E2F" w:rsidRDefault="00883EDC" w:rsidP="00712C3D">
      <w:pPr>
        <w:jc w:val="both"/>
      </w:pPr>
      <w:r>
        <w:t xml:space="preserve">Do povećanja u odnosu na isto razdoblje prethodne godine došlo je za 13,0 % više i to najviše u stavci poreza na promet nekretnina što je rezultat ostvarene kupoprodaje nekretnina na području Općine </w:t>
      </w:r>
      <w:proofErr w:type="spellStart"/>
      <w:r>
        <w:t>Fužine</w:t>
      </w:r>
      <w:proofErr w:type="spellEnd"/>
      <w:r>
        <w:t>.</w:t>
      </w:r>
    </w:p>
    <w:p w:rsidR="00361E2F" w:rsidRDefault="00883EDC" w:rsidP="00712C3D">
      <w:pPr>
        <w:jc w:val="both"/>
      </w:pPr>
      <w:r>
        <w:t>Od 1. siječnja 2025. godine ukinut je porez na kuće za odmor tako da se ostvareni iznos od 6.501,88 eura odnosi na naplatu duga iz 2024. godine i prijašnjih godina.</w:t>
      </w:r>
    </w:p>
    <w:p w:rsidR="00361E2F" w:rsidRDefault="00883EDC" w:rsidP="00712C3D">
      <w:pPr>
        <w:jc w:val="both"/>
      </w:pPr>
      <w:r>
        <w:t>Ukinuti porez na kuće za odmor zamijenjen je porezom na nekretnine koji je razrezan krajem 2025. godine tako da je do 31.12.2025. godine naplaćena samo 66,53 % planiranih sredstava što je i dovelo do manjeg izvršenja ove skupine prihoda. Razrez poreza na nekretnine vrši Porezna uprava koja je kasnila s razrezom te je i to dovelo do manje naplate u odnosu na plan.</w:t>
      </w:r>
    </w:p>
    <w:p w:rsidR="00361E2F" w:rsidRDefault="00361E2F"/>
    <w:p w:rsidR="00361E2F" w:rsidRDefault="00883ED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614</w:t>
            </w:r>
          </w:p>
        </w:tc>
        <w:tc>
          <w:tcPr>
            <w:tcW w:w="3180" w:type="dxa"/>
            <w:tcMar>
              <w:top w:w="0" w:type="dxa"/>
              <w:bottom w:w="0" w:type="dxa"/>
            </w:tcMar>
            <w:vAlign w:val="center"/>
          </w:tcPr>
          <w:p w:rsidR="00361E2F" w:rsidRDefault="00883EDC">
            <w:pPr>
              <w:keepNext/>
              <w:keepLines/>
              <w:spacing w:after="0" w:line="240" w:lineRule="auto"/>
            </w:pPr>
            <w:r>
              <w:rPr>
                <w:sz w:val="18"/>
              </w:rPr>
              <w:t>Porezi na robu i usluge (šifre 6141 do 61476148)</w:t>
            </w:r>
          </w:p>
        </w:tc>
        <w:tc>
          <w:tcPr>
            <w:tcW w:w="700" w:type="dxa"/>
            <w:tcMar>
              <w:top w:w="0" w:type="dxa"/>
              <w:bottom w:w="0" w:type="dxa"/>
            </w:tcMar>
            <w:vAlign w:val="center"/>
          </w:tcPr>
          <w:p w:rsidR="00361E2F" w:rsidRDefault="00883EDC">
            <w:pPr>
              <w:keepNext/>
              <w:keepLines/>
              <w:spacing w:after="0" w:line="240" w:lineRule="auto"/>
            </w:pPr>
            <w:r>
              <w:rPr>
                <w:sz w:val="18"/>
              </w:rPr>
              <w:t>614</w:t>
            </w:r>
          </w:p>
        </w:tc>
        <w:tc>
          <w:tcPr>
            <w:tcW w:w="1860" w:type="dxa"/>
            <w:tcMar>
              <w:top w:w="0" w:type="dxa"/>
              <w:bottom w:w="0" w:type="dxa"/>
            </w:tcMar>
            <w:vAlign w:val="center"/>
          </w:tcPr>
          <w:p w:rsidR="00361E2F" w:rsidRDefault="00883EDC">
            <w:pPr>
              <w:keepNext/>
              <w:keepLines/>
              <w:spacing w:after="0" w:line="240" w:lineRule="auto"/>
              <w:jc w:val="right"/>
            </w:pPr>
            <w:r>
              <w:rPr>
                <w:sz w:val="18"/>
              </w:rPr>
              <w:t>13.693,53</w:t>
            </w:r>
          </w:p>
        </w:tc>
        <w:tc>
          <w:tcPr>
            <w:tcW w:w="1860" w:type="dxa"/>
            <w:tcMar>
              <w:top w:w="0" w:type="dxa"/>
              <w:bottom w:w="0" w:type="dxa"/>
            </w:tcMar>
            <w:vAlign w:val="center"/>
          </w:tcPr>
          <w:p w:rsidR="00361E2F" w:rsidRDefault="00883EDC">
            <w:pPr>
              <w:keepNext/>
              <w:keepLines/>
              <w:spacing w:after="0" w:line="240" w:lineRule="auto"/>
              <w:jc w:val="right"/>
            </w:pPr>
            <w:r>
              <w:rPr>
                <w:sz w:val="18"/>
              </w:rPr>
              <w:t>15.508,63</w:t>
            </w:r>
          </w:p>
        </w:tc>
        <w:tc>
          <w:tcPr>
            <w:tcW w:w="700" w:type="dxa"/>
            <w:tcMar>
              <w:top w:w="0" w:type="dxa"/>
              <w:bottom w:w="0" w:type="dxa"/>
            </w:tcMar>
            <w:vAlign w:val="center"/>
          </w:tcPr>
          <w:p w:rsidR="00361E2F" w:rsidRDefault="00883EDC">
            <w:pPr>
              <w:keepNext/>
              <w:keepLines/>
              <w:spacing w:after="0" w:line="240" w:lineRule="auto"/>
              <w:jc w:val="right"/>
            </w:pPr>
            <w:r>
              <w:rPr>
                <w:sz w:val="18"/>
              </w:rPr>
              <w:t>113,3</w:t>
            </w:r>
          </w:p>
        </w:tc>
      </w:tr>
    </w:tbl>
    <w:p w:rsidR="00361E2F" w:rsidRDefault="00361E2F">
      <w:pPr>
        <w:spacing w:after="0"/>
      </w:pPr>
    </w:p>
    <w:p w:rsidR="00361E2F" w:rsidRDefault="00883EDC" w:rsidP="00712C3D">
      <w:pPr>
        <w:jc w:val="both"/>
      </w:pPr>
      <w:r>
        <w:t>Šifra 614 – Porezi na robu i usluge ostvareni u iznosu od 15.508,63 eura, a obuhvaćaju porez na potrošnju alkoholnih i bezalkoholnih pića. Razrez poreza i naplatu na potrošnju alkoholnih i bezalkoholnih pića vrši Porezna uprava prema prijavljenoj potrošnji ugostitelja. </w:t>
      </w:r>
    </w:p>
    <w:p w:rsidR="00361E2F" w:rsidRDefault="00883EDC" w:rsidP="00712C3D">
      <w:pPr>
        <w:jc w:val="both"/>
      </w:pPr>
      <w:r>
        <w:lastRenderedPageBreak/>
        <w:t>U izvještajnom razdoblju ostvareni prihod po osnovi poreza na potrošnju veći je za 13,3 % u odnosu na prethodnu godinu što znači da se povećava promet ugostitelj</w:t>
      </w:r>
      <w:r w:rsidR="00712C3D">
        <w:t xml:space="preserve">skih </w:t>
      </w:r>
      <w:r>
        <w:t>objekata ali je došlo i do povećanja cijena alkoholnih i bezalkoholnih pića.</w:t>
      </w:r>
    </w:p>
    <w:p w:rsidR="00361E2F" w:rsidRDefault="00883EDC" w:rsidP="00712C3D">
      <w:pPr>
        <w:jc w:val="both"/>
      </w:pPr>
      <w:r>
        <w:t> </w:t>
      </w:r>
    </w:p>
    <w:p w:rsidR="00361E2F" w:rsidRDefault="00883ED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633</w:t>
            </w:r>
          </w:p>
        </w:tc>
        <w:tc>
          <w:tcPr>
            <w:tcW w:w="3180" w:type="dxa"/>
            <w:tcMar>
              <w:top w:w="0" w:type="dxa"/>
              <w:bottom w:w="0" w:type="dxa"/>
            </w:tcMar>
            <w:vAlign w:val="center"/>
          </w:tcPr>
          <w:p w:rsidR="00361E2F" w:rsidRDefault="00883EDC">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rsidR="00361E2F" w:rsidRDefault="00883EDC">
            <w:pPr>
              <w:keepNext/>
              <w:keepLines/>
              <w:spacing w:after="0" w:line="240" w:lineRule="auto"/>
            </w:pPr>
            <w:r>
              <w:rPr>
                <w:sz w:val="18"/>
              </w:rPr>
              <w:t>633</w:t>
            </w:r>
          </w:p>
        </w:tc>
        <w:tc>
          <w:tcPr>
            <w:tcW w:w="1860" w:type="dxa"/>
            <w:tcMar>
              <w:top w:w="0" w:type="dxa"/>
              <w:bottom w:w="0" w:type="dxa"/>
            </w:tcMar>
            <w:vAlign w:val="center"/>
          </w:tcPr>
          <w:p w:rsidR="00361E2F" w:rsidRDefault="00883EDC">
            <w:pPr>
              <w:keepNext/>
              <w:keepLines/>
              <w:spacing w:after="0" w:line="240" w:lineRule="auto"/>
              <w:jc w:val="right"/>
            </w:pPr>
            <w:r>
              <w:rPr>
                <w:sz w:val="18"/>
              </w:rPr>
              <w:t>574.192,01</w:t>
            </w:r>
          </w:p>
        </w:tc>
        <w:tc>
          <w:tcPr>
            <w:tcW w:w="1860" w:type="dxa"/>
            <w:tcMar>
              <w:top w:w="0" w:type="dxa"/>
              <w:bottom w:w="0" w:type="dxa"/>
            </w:tcMar>
            <w:vAlign w:val="center"/>
          </w:tcPr>
          <w:p w:rsidR="00361E2F" w:rsidRDefault="00883EDC">
            <w:pPr>
              <w:keepNext/>
              <w:keepLines/>
              <w:spacing w:after="0" w:line="240" w:lineRule="auto"/>
              <w:jc w:val="right"/>
            </w:pPr>
            <w:r>
              <w:rPr>
                <w:sz w:val="18"/>
              </w:rPr>
              <w:t>674.155,03</w:t>
            </w:r>
          </w:p>
        </w:tc>
        <w:tc>
          <w:tcPr>
            <w:tcW w:w="700" w:type="dxa"/>
            <w:tcMar>
              <w:top w:w="0" w:type="dxa"/>
              <w:bottom w:w="0" w:type="dxa"/>
            </w:tcMar>
            <w:vAlign w:val="center"/>
          </w:tcPr>
          <w:p w:rsidR="00361E2F" w:rsidRDefault="00883EDC">
            <w:pPr>
              <w:keepNext/>
              <w:keepLines/>
              <w:spacing w:after="0" w:line="240" w:lineRule="auto"/>
              <w:jc w:val="right"/>
            </w:pPr>
            <w:r>
              <w:rPr>
                <w:sz w:val="18"/>
              </w:rPr>
              <w:t>117,4</w:t>
            </w:r>
          </w:p>
        </w:tc>
      </w:tr>
    </w:tbl>
    <w:p w:rsidR="00361E2F" w:rsidRDefault="00361E2F">
      <w:pPr>
        <w:spacing w:after="0"/>
      </w:pPr>
    </w:p>
    <w:p w:rsidR="00361E2F" w:rsidRDefault="00883EDC" w:rsidP="00712C3D">
      <w:pPr>
        <w:jc w:val="both"/>
      </w:pPr>
      <w:r>
        <w:t>Šifra 633 – Pomoći proračunu i izvanproračunskim korisnicima iz drugih proračuna ostvarene su u iznosu od 674.155,03 eura, odnosno 17,4 % više nego u istom razdoblju prethodne godine, iste pomoći odnose se na: </w:t>
      </w:r>
    </w:p>
    <w:p w:rsidR="00361E2F" w:rsidRDefault="00883EDC" w:rsidP="00712C3D">
      <w:pPr>
        <w:jc w:val="both"/>
      </w:pPr>
      <w:r>
        <w:t>- tekuće pomoći iz državnog proračuna obuhvaćaju sredstva za fiskalno izravnanje JLS i fiskalnu održivost vrtića koje se isplaćuju mjesečno u iznosu od 43.104,00 eura,</w:t>
      </w:r>
    </w:p>
    <w:p w:rsidR="00361E2F" w:rsidRDefault="00883EDC" w:rsidP="00712C3D">
      <w:pPr>
        <w:jc w:val="both"/>
      </w:pPr>
      <w:r>
        <w:t>- tekuće po</w:t>
      </w:r>
      <w:r w:rsidR="00712C3D">
        <w:t>m</w:t>
      </w:r>
      <w:r>
        <w:t xml:space="preserve">oći iz Županijskog proračuna – sufinanciranje logopedijske terapije i rehabilitaciju 3.600,00 eura, linijski prijevoz za 2025. godinu 22.000,00 eura, održavanje nerazvrstanih cesta – sanacija udarnih </w:t>
      </w:r>
      <w:r w:rsidR="00712C3D">
        <w:t xml:space="preserve">rupa </w:t>
      </w:r>
      <w:r>
        <w:t xml:space="preserve">8.000,00 eura, sufinanciranje manifestacije 32. Ljeto u </w:t>
      </w:r>
      <w:proofErr w:type="spellStart"/>
      <w:r>
        <w:t>Fužinama</w:t>
      </w:r>
      <w:proofErr w:type="spellEnd"/>
      <w:r>
        <w:t xml:space="preserve"> 5.000,00 i sufinanciranje manifestacije Ispraćaj Stare godine u podne 5.000,00 eura.</w:t>
      </w:r>
    </w:p>
    <w:p w:rsidR="00361E2F" w:rsidRDefault="00883EDC" w:rsidP="00712C3D">
      <w:pPr>
        <w:jc w:val="both"/>
      </w:pPr>
      <w:r>
        <w:t xml:space="preserve">- kapitalne pomoći iz državnog proračuna obuhvaćaju sredstva Ministarstva regionalnog razvoja i fondova Evropske unije za Projekt Edukativna staza </w:t>
      </w:r>
      <w:proofErr w:type="spellStart"/>
      <w:r>
        <w:t>Lepenica</w:t>
      </w:r>
      <w:proofErr w:type="spellEnd"/>
      <w:r>
        <w:t xml:space="preserve"> II faza – 291.579,88 eura, Ministarstvo prostornog uređenja , graditeljstva i Državne imovine za projekt proširenja groblja </w:t>
      </w:r>
      <w:proofErr w:type="spellStart"/>
      <w:r>
        <w:t>Lič</w:t>
      </w:r>
      <w:proofErr w:type="spellEnd"/>
      <w:r>
        <w:t xml:space="preserve"> – 2.700,00 eura i 8.160,00 eura za projekt energetske obnove Društvenog doma u </w:t>
      </w:r>
      <w:proofErr w:type="spellStart"/>
      <w:r>
        <w:t>Fužinama</w:t>
      </w:r>
      <w:proofErr w:type="spellEnd"/>
      <w:r>
        <w:t xml:space="preserve">, Ministarstvo demografije i useljeništva za uređenje dječjeg igrališta na lokaciji </w:t>
      </w:r>
      <w:proofErr w:type="spellStart"/>
      <w:r>
        <w:t>Plase</w:t>
      </w:r>
      <w:proofErr w:type="spellEnd"/>
      <w:r>
        <w:t xml:space="preserve"> Vrata – 23.285,52 eura i sredstva za sufinanciranje programa razvoja vodoopskrbe i SJO na području Općine </w:t>
      </w:r>
      <w:proofErr w:type="spellStart"/>
      <w:r>
        <w:t>Fužine</w:t>
      </w:r>
      <w:proofErr w:type="spellEnd"/>
      <w:r>
        <w:t>, a u svezi Švicarsko-Hrvatskog programa suradnje u iznosu od 159.647,98 eura. </w:t>
      </w:r>
    </w:p>
    <w:p w:rsidR="00361E2F" w:rsidRDefault="00883EDC" w:rsidP="00712C3D">
      <w:pPr>
        <w:jc w:val="both"/>
      </w:pPr>
      <w:r>
        <w:t xml:space="preserve">- kapitalne pomoći iz Županijskog proračuna za uređenje i opremanje šetalište Kreše Golika – 8.000,00 eura, sufinanciranje projekta uređenja dvorane Društvenog doma u </w:t>
      </w:r>
      <w:proofErr w:type="spellStart"/>
      <w:r>
        <w:t>Fužinama</w:t>
      </w:r>
      <w:proofErr w:type="spellEnd"/>
      <w:r>
        <w:t xml:space="preserve"> – 10.000.00 eura i sufinanciranje projekta Tematsko edukativne staze </w:t>
      </w:r>
      <w:proofErr w:type="spellStart"/>
      <w:r>
        <w:t>Lepenica</w:t>
      </w:r>
      <w:proofErr w:type="spellEnd"/>
      <w:r>
        <w:t xml:space="preserve"> II faza – 84.437,65 eura.</w:t>
      </w:r>
    </w:p>
    <w:p w:rsidR="00361E2F" w:rsidRDefault="00361E2F"/>
    <w:p w:rsidR="00361E2F" w:rsidRDefault="00883ED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634</w:t>
            </w:r>
          </w:p>
        </w:tc>
        <w:tc>
          <w:tcPr>
            <w:tcW w:w="3180" w:type="dxa"/>
            <w:tcMar>
              <w:top w:w="0" w:type="dxa"/>
              <w:bottom w:w="0" w:type="dxa"/>
            </w:tcMar>
            <w:vAlign w:val="center"/>
          </w:tcPr>
          <w:p w:rsidR="00361E2F" w:rsidRDefault="00883EDC">
            <w:pPr>
              <w:keepNext/>
              <w:keepLines/>
              <w:spacing w:after="0" w:line="240" w:lineRule="auto"/>
            </w:pPr>
            <w:r>
              <w:rPr>
                <w:sz w:val="18"/>
              </w:rPr>
              <w:t>Pomoći od izvanproračunskih korisnika (šifre 6341+6342)</w:t>
            </w:r>
          </w:p>
        </w:tc>
        <w:tc>
          <w:tcPr>
            <w:tcW w:w="700" w:type="dxa"/>
            <w:tcMar>
              <w:top w:w="0" w:type="dxa"/>
              <w:bottom w:w="0" w:type="dxa"/>
            </w:tcMar>
            <w:vAlign w:val="center"/>
          </w:tcPr>
          <w:p w:rsidR="00361E2F" w:rsidRDefault="00883EDC">
            <w:pPr>
              <w:keepNext/>
              <w:keepLines/>
              <w:spacing w:after="0" w:line="240" w:lineRule="auto"/>
            </w:pPr>
            <w:r>
              <w:rPr>
                <w:sz w:val="18"/>
              </w:rPr>
              <w:t>634</w:t>
            </w:r>
          </w:p>
        </w:tc>
        <w:tc>
          <w:tcPr>
            <w:tcW w:w="1860" w:type="dxa"/>
            <w:tcMar>
              <w:top w:w="0" w:type="dxa"/>
              <w:bottom w:w="0" w:type="dxa"/>
            </w:tcMar>
            <w:vAlign w:val="center"/>
          </w:tcPr>
          <w:p w:rsidR="00361E2F" w:rsidRDefault="00883EDC">
            <w:pPr>
              <w:keepNext/>
              <w:keepLines/>
              <w:spacing w:after="0" w:line="240" w:lineRule="auto"/>
              <w:jc w:val="right"/>
            </w:pPr>
            <w:r>
              <w:rPr>
                <w:sz w:val="18"/>
              </w:rPr>
              <w:t>17.477,51</w:t>
            </w:r>
          </w:p>
        </w:tc>
        <w:tc>
          <w:tcPr>
            <w:tcW w:w="1860" w:type="dxa"/>
            <w:tcMar>
              <w:top w:w="0" w:type="dxa"/>
              <w:bottom w:w="0" w:type="dxa"/>
            </w:tcMar>
            <w:vAlign w:val="center"/>
          </w:tcPr>
          <w:p w:rsidR="00361E2F" w:rsidRDefault="00883EDC">
            <w:pPr>
              <w:keepNext/>
              <w:keepLines/>
              <w:spacing w:after="0" w:line="240" w:lineRule="auto"/>
              <w:jc w:val="right"/>
            </w:pPr>
            <w:r>
              <w:rPr>
                <w:sz w:val="18"/>
              </w:rPr>
              <w:t>62.861,88</w:t>
            </w:r>
          </w:p>
        </w:tc>
        <w:tc>
          <w:tcPr>
            <w:tcW w:w="700" w:type="dxa"/>
            <w:tcMar>
              <w:top w:w="0" w:type="dxa"/>
              <w:bottom w:w="0" w:type="dxa"/>
            </w:tcMar>
            <w:vAlign w:val="center"/>
          </w:tcPr>
          <w:p w:rsidR="00361E2F" w:rsidRDefault="00883EDC">
            <w:pPr>
              <w:keepNext/>
              <w:keepLines/>
              <w:spacing w:after="0" w:line="240" w:lineRule="auto"/>
              <w:jc w:val="right"/>
            </w:pPr>
            <w:r>
              <w:rPr>
                <w:sz w:val="18"/>
              </w:rPr>
              <w:t>359,7</w:t>
            </w:r>
          </w:p>
        </w:tc>
      </w:tr>
    </w:tbl>
    <w:p w:rsidR="00361E2F" w:rsidRDefault="00361E2F">
      <w:pPr>
        <w:spacing w:after="0"/>
      </w:pPr>
    </w:p>
    <w:p w:rsidR="00361E2F" w:rsidRDefault="00883EDC" w:rsidP="00712C3D">
      <w:pPr>
        <w:jc w:val="both"/>
      </w:pPr>
      <w:r>
        <w:lastRenderedPageBreak/>
        <w:t>Šifra 634 – Pomoći od izvanproračunskih korisnika ostvarene su u iznosu od 62.861,88 eura, a odnose se na pomoć za pokriće troškova zimske službe koje plaćaju Hrvatske ceste d.o.o. u iznosu od 22.569,63 eura.</w:t>
      </w:r>
    </w:p>
    <w:p w:rsidR="00361E2F" w:rsidRDefault="00883EDC" w:rsidP="00712C3D">
      <w:pPr>
        <w:jc w:val="both"/>
      </w:pPr>
      <w:r>
        <w:t xml:space="preserve">Ova vrsta prihoda bilježi povećanje za 259,7 % u odnosu na 2024. godinu, a ovisi o procjeni Hrvatskih cesta o troškovima zimske službe na području Općine </w:t>
      </w:r>
      <w:proofErr w:type="spellStart"/>
      <w:r>
        <w:t>Fužine</w:t>
      </w:r>
      <w:proofErr w:type="spellEnd"/>
      <w:r>
        <w:t xml:space="preserve">, i kapitalna pomoć od Fonda za zaštitu okoliša i energetsku učinkovitost za sufinanciranje uklanjanja otpada odbačenog u okoliš čiji projekt je započeo u 2024. godini u iznosu od 37.637,25 eura i provedba programa Razvoj i promocija autohtonih proizvoda – </w:t>
      </w:r>
      <w:proofErr w:type="spellStart"/>
      <w:r>
        <w:t>Medun</w:t>
      </w:r>
      <w:proofErr w:type="spellEnd"/>
      <w:r>
        <w:t xml:space="preserve"> fest 2025. u iznosu od 2.655,00 eura.</w:t>
      </w:r>
    </w:p>
    <w:p w:rsidR="00361E2F" w:rsidRDefault="00883EDC">
      <w:r>
        <w:t> </w:t>
      </w:r>
    </w:p>
    <w:p w:rsidR="00361E2F" w:rsidRDefault="00883ED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636</w:t>
            </w:r>
          </w:p>
        </w:tc>
        <w:tc>
          <w:tcPr>
            <w:tcW w:w="3180" w:type="dxa"/>
            <w:tcMar>
              <w:top w:w="0" w:type="dxa"/>
              <w:bottom w:w="0" w:type="dxa"/>
            </w:tcMar>
            <w:vAlign w:val="center"/>
          </w:tcPr>
          <w:p w:rsidR="00361E2F" w:rsidRDefault="00883EDC">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361E2F" w:rsidRDefault="00883EDC">
            <w:pPr>
              <w:keepNext/>
              <w:keepLines/>
              <w:spacing w:after="0" w:line="240" w:lineRule="auto"/>
            </w:pPr>
            <w:r>
              <w:rPr>
                <w:sz w:val="18"/>
              </w:rPr>
              <w:t>636</w:t>
            </w:r>
          </w:p>
        </w:tc>
        <w:tc>
          <w:tcPr>
            <w:tcW w:w="1860" w:type="dxa"/>
            <w:tcMar>
              <w:top w:w="0" w:type="dxa"/>
              <w:bottom w:w="0" w:type="dxa"/>
            </w:tcMar>
            <w:vAlign w:val="center"/>
          </w:tcPr>
          <w:p w:rsidR="00361E2F" w:rsidRDefault="00883EDC">
            <w:pPr>
              <w:keepNext/>
              <w:keepLines/>
              <w:spacing w:after="0" w:line="240" w:lineRule="auto"/>
              <w:jc w:val="right"/>
            </w:pPr>
            <w:r>
              <w:rPr>
                <w:sz w:val="18"/>
              </w:rPr>
              <w:t>230,40</w:t>
            </w:r>
          </w:p>
        </w:tc>
        <w:tc>
          <w:tcPr>
            <w:tcW w:w="1860" w:type="dxa"/>
            <w:tcMar>
              <w:top w:w="0" w:type="dxa"/>
              <w:bottom w:w="0" w:type="dxa"/>
            </w:tcMar>
            <w:vAlign w:val="center"/>
          </w:tcPr>
          <w:p w:rsidR="00361E2F" w:rsidRDefault="00883EDC">
            <w:pPr>
              <w:keepNext/>
              <w:keepLines/>
              <w:spacing w:after="0" w:line="240" w:lineRule="auto"/>
              <w:jc w:val="right"/>
            </w:pPr>
            <w:r>
              <w:rPr>
                <w:sz w:val="18"/>
              </w:rPr>
              <w:t>120.745,09</w:t>
            </w:r>
          </w:p>
        </w:tc>
        <w:tc>
          <w:tcPr>
            <w:tcW w:w="700" w:type="dxa"/>
            <w:tcMar>
              <w:top w:w="0" w:type="dxa"/>
              <w:bottom w:w="0" w:type="dxa"/>
            </w:tcMar>
            <w:vAlign w:val="center"/>
          </w:tcPr>
          <w:p w:rsidR="00361E2F" w:rsidRDefault="00883EDC">
            <w:pPr>
              <w:keepNext/>
              <w:keepLines/>
              <w:spacing w:after="0" w:line="240" w:lineRule="auto"/>
              <w:jc w:val="right"/>
            </w:pPr>
            <w:r>
              <w:rPr>
                <w:sz w:val="18"/>
              </w:rPr>
              <w:t>&gt;&gt;100</w:t>
            </w:r>
          </w:p>
        </w:tc>
      </w:tr>
    </w:tbl>
    <w:p w:rsidR="00361E2F" w:rsidRDefault="00361E2F">
      <w:pPr>
        <w:spacing w:after="0"/>
      </w:pPr>
    </w:p>
    <w:p w:rsidR="00361E2F" w:rsidRDefault="00883EDC" w:rsidP="00712C3D">
      <w:pPr>
        <w:jc w:val="both"/>
      </w:pPr>
      <w:r>
        <w:t xml:space="preserve">Šifra 636 -  Pomoći proračunskim korisnicima iz proračuna koji im nije nadležan ostvaren je iznos od 120.745,09 eura. Ostvareni iznos odnosi se na uplate od Općine Lokve za Područni odjel „Žabice“ pri DV „Snježna pahulja“ i od Općine </w:t>
      </w:r>
      <w:proofErr w:type="spellStart"/>
      <w:r>
        <w:t>Mrkopalj</w:t>
      </w:r>
      <w:proofErr w:type="spellEnd"/>
      <w:r>
        <w:t xml:space="preserve"> za Područni odjel „Pahuljice“ pri  DV „Snježna pahulja“.</w:t>
      </w:r>
    </w:p>
    <w:p w:rsidR="00361E2F" w:rsidRDefault="00361E2F"/>
    <w:p w:rsidR="00361E2F" w:rsidRDefault="00883ED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638</w:t>
            </w:r>
          </w:p>
        </w:tc>
        <w:tc>
          <w:tcPr>
            <w:tcW w:w="3180" w:type="dxa"/>
            <w:tcMar>
              <w:top w:w="0" w:type="dxa"/>
              <w:bottom w:w="0" w:type="dxa"/>
            </w:tcMar>
            <w:vAlign w:val="center"/>
          </w:tcPr>
          <w:p w:rsidR="00361E2F" w:rsidRDefault="00883EDC">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361E2F" w:rsidRDefault="00883EDC">
            <w:pPr>
              <w:keepNext/>
              <w:keepLines/>
              <w:spacing w:after="0" w:line="240" w:lineRule="auto"/>
            </w:pPr>
            <w:r>
              <w:rPr>
                <w:sz w:val="18"/>
              </w:rPr>
              <w:t>638</w:t>
            </w:r>
          </w:p>
        </w:tc>
        <w:tc>
          <w:tcPr>
            <w:tcW w:w="1860" w:type="dxa"/>
            <w:tcMar>
              <w:top w:w="0" w:type="dxa"/>
              <w:bottom w:w="0" w:type="dxa"/>
            </w:tcMar>
            <w:vAlign w:val="center"/>
          </w:tcPr>
          <w:p w:rsidR="00361E2F" w:rsidRDefault="00883EDC">
            <w:pPr>
              <w:keepNext/>
              <w:keepLines/>
              <w:spacing w:after="0" w:line="240" w:lineRule="auto"/>
              <w:jc w:val="right"/>
            </w:pPr>
            <w:r>
              <w:rPr>
                <w:sz w:val="18"/>
              </w:rPr>
              <w:t>117.455,21</w:t>
            </w:r>
          </w:p>
        </w:tc>
        <w:tc>
          <w:tcPr>
            <w:tcW w:w="1860" w:type="dxa"/>
            <w:tcMar>
              <w:top w:w="0" w:type="dxa"/>
              <w:bottom w:w="0" w:type="dxa"/>
            </w:tcMar>
            <w:vAlign w:val="center"/>
          </w:tcPr>
          <w:p w:rsidR="00361E2F" w:rsidRDefault="00883EDC">
            <w:pPr>
              <w:keepNext/>
              <w:keepLines/>
              <w:spacing w:after="0" w:line="240" w:lineRule="auto"/>
              <w:jc w:val="right"/>
            </w:pPr>
            <w:r>
              <w:rPr>
                <w:sz w:val="18"/>
              </w:rPr>
              <w:t>155.200,39</w:t>
            </w:r>
          </w:p>
        </w:tc>
        <w:tc>
          <w:tcPr>
            <w:tcW w:w="700" w:type="dxa"/>
            <w:tcMar>
              <w:top w:w="0" w:type="dxa"/>
              <w:bottom w:w="0" w:type="dxa"/>
            </w:tcMar>
            <w:vAlign w:val="center"/>
          </w:tcPr>
          <w:p w:rsidR="00361E2F" w:rsidRDefault="00883EDC">
            <w:pPr>
              <w:keepNext/>
              <w:keepLines/>
              <w:spacing w:after="0" w:line="240" w:lineRule="auto"/>
              <w:jc w:val="right"/>
            </w:pPr>
            <w:r>
              <w:rPr>
                <w:sz w:val="18"/>
              </w:rPr>
              <w:t>132,1</w:t>
            </w:r>
          </w:p>
        </w:tc>
      </w:tr>
    </w:tbl>
    <w:p w:rsidR="00361E2F" w:rsidRDefault="00361E2F">
      <w:pPr>
        <w:spacing w:after="0"/>
      </w:pPr>
    </w:p>
    <w:p w:rsidR="00361E2F" w:rsidRDefault="00883EDC" w:rsidP="00712C3D">
      <w:pPr>
        <w:jc w:val="both"/>
      </w:pPr>
      <w:r>
        <w:t>Pomoći temeljem prijenosa EU sredstava ostvarene su u 2025. godini u iznosu od 155.200,39 eura ili 40.9 % više u odnosu na prethodnu godinu, a obuhvaćaju tekuće pomoći za program ZAŽELI – IV. faza u iznosu od 107.700,39 eura (šifra 6381), te kapitalne pomoći za uređenje Parka Za Goricom u iznosu od 47.500,00 eura čija realizacija uređenja je izvršena u 2024. godini kao i prijava na projek</w:t>
      </w:r>
      <w:r w:rsidR="00712C3D">
        <w:t>a</w:t>
      </w:r>
      <w:r>
        <w:t>t.</w:t>
      </w:r>
    </w:p>
    <w:p w:rsidR="00361E2F" w:rsidRDefault="00883ED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641</w:t>
            </w:r>
          </w:p>
        </w:tc>
        <w:tc>
          <w:tcPr>
            <w:tcW w:w="3180" w:type="dxa"/>
            <w:tcMar>
              <w:top w:w="0" w:type="dxa"/>
              <w:bottom w:w="0" w:type="dxa"/>
            </w:tcMar>
            <w:vAlign w:val="center"/>
          </w:tcPr>
          <w:p w:rsidR="00361E2F" w:rsidRDefault="00883EDC">
            <w:pPr>
              <w:keepNext/>
              <w:keepLines/>
              <w:spacing w:after="0" w:line="240" w:lineRule="auto"/>
            </w:pPr>
            <w:r>
              <w:rPr>
                <w:sz w:val="18"/>
              </w:rPr>
              <w:t>Prihodi od financijske imovine (šifre 6412 do 6419)</w:t>
            </w:r>
          </w:p>
        </w:tc>
        <w:tc>
          <w:tcPr>
            <w:tcW w:w="700" w:type="dxa"/>
            <w:tcMar>
              <w:top w:w="0" w:type="dxa"/>
              <w:bottom w:w="0" w:type="dxa"/>
            </w:tcMar>
            <w:vAlign w:val="center"/>
          </w:tcPr>
          <w:p w:rsidR="00361E2F" w:rsidRDefault="00883EDC">
            <w:pPr>
              <w:keepNext/>
              <w:keepLines/>
              <w:spacing w:after="0" w:line="240" w:lineRule="auto"/>
            </w:pPr>
            <w:r>
              <w:rPr>
                <w:sz w:val="18"/>
              </w:rPr>
              <w:t>641</w:t>
            </w:r>
          </w:p>
        </w:tc>
        <w:tc>
          <w:tcPr>
            <w:tcW w:w="1860" w:type="dxa"/>
            <w:tcMar>
              <w:top w:w="0" w:type="dxa"/>
              <w:bottom w:w="0" w:type="dxa"/>
            </w:tcMar>
            <w:vAlign w:val="center"/>
          </w:tcPr>
          <w:p w:rsidR="00361E2F" w:rsidRDefault="00883EDC">
            <w:pPr>
              <w:keepNext/>
              <w:keepLines/>
              <w:spacing w:after="0" w:line="240" w:lineRule="auto"/>
              <w:jc w:val="right"/>
            </w:pPr>
            <w:r>
              <w:rPr>
                <w:sz w:val="18"/>
              </w:rPr>
              <w:t>298,28</w:t>
            </w:r>
          </w:p>
        </w:tc>
        <w:tc>
          <w:tcPr>
            <w:tcW w:w="1860" w:type="dxa"/>
            <w:tcMar>
              <w:top w:w="0" w:type="dxa"/>
              <w:bottom w:w="0" w:type="dxa"/>
            </w:tcMar>
            <w:vAlign w:val="center"/>
          </w:tcPr>
          <w:p w:rsidR="00361E2F" w:rsidRDefault="00883EDC">
            <w:pPr>
              <w:keepNext/>
              <w:keepLines/>
              <w:spacing w:after="0" w:line="240" w:lineRule="auto"/>
              <w:jc w:val="right"/>
            </w:pPr>
            <w:r>
              <w:rPr>
                <w:sz w:val="18"/>
              </w:rPr>
              <w:t>437,45</w:t>
            </w:r>
          </w:p>
        </w:tc>
        <w:tc>
          <w:tcPr>
            <w:tcW w:w="700" w:type="dxa"/>
            <w:tcMar>
              <w:top w:w="0" w:type="dxa"/>
              <w:bottom w:w="0" w:type="dxa"/>
            </w:tcMar>
            <w:vAlign w:val="center"/>
          </w:tcPr>
          <w:p w:rsidR="00361E2F" w:rsidRDefault="00883EDC">
            <w:pPr>
              <w:keepNext/>
              <w:keepLines/>
              <w:spacing w:after="0" w:line="240" w:lineRule="auto"/>
              <w:jc w:val="right"/>
            </w:pPr>
            <w:r>
              <w:rPr>
                <w:sz w:val="18"/>
              </w:rPr>
              <w:t>146,7</w:t>
            </w:r>
          </w:p>
        </w:tc>
      </w:tr>
    </w:tbl>
    <w:p w:rsidR="00361E2F" w:rsidRDefault="00361E2F">
      <w:pPr>
        <w:spacing w:after="0"/>
      </w:pPr>
    </w:p>
    <w:p w:rsidR="00361E2F" w:rsidRDefault="00883EDC" w:rsidP="00712C3D">
      <w:pPr>
        <w:jc w:val="both"/>
      </w:pPr>
      <w:r>
        <w:t xml:space="preserve">Šifra 641 – Prihodi od financijske imovine ostvareni su u iznosu od 437,45 eura, a odnose se na zatezne kamate što je za 46,7 % više nego u istom razdoblju 2024. godine. Veća sredstva su </w:t>
      </w:r>
      <w:r>
        <w:lastRenderedPageBreak/>
        <w:t>ostvarena po dostavljenim i obračunatim opomenama dužnicima s osnove komunalne naknade, komunalnog doprinosa, zakupa poslovnog prostora i naknade za korištenje javnih površina.</w:t>
      </w:r>
    </w:p>
    <w:p w:rsidR="00361E2F" w:rsidRDefault="00883EDC" w:rsidP="00712C3D">
      <w:pPr>
        <w:jc w:val="both"/>
      </w:pPr>
      <w:r>
        <w:t> </w:t>
      </w:r>
    </w:p>
    <w:p w:rsidR="00361E2F" w:rsidRDefault="00883ED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642</w:t>
            </w:r>
          </w:p>
        </w:tc>
        <w:tc>
          <w:tcPr>
            <w:tcW w:w="3180" w:type="dxa"/>
            <w:tcMar>
              <w:top w:w="0" w:type="dxa"/>
              <w:bottom w:w="0" w:type="dxa"/>
            </w:tcMar>
            <w:vAlign w:val="center"/>
          </w:tcPr>
          <w:p w:rsidR="00361E2F" w:rsidRDefault="00883EDC">
            <w:pPr>
              <w:keepNext/>
              <w:keepLines/>
              <w:spacing w:after="0" w:line="240" w:lineRule="auto"/>
            </w:pPr>
            <w:r>
              <w:rPr>
                <w:sz w:val="18"/>
              </w:rPr>
              <w:t>Prihodi od nefinancijske imovine (šifre 6421 do 6429)</w:t>
            </w:r>
          </w:p>
        </w:tc>
        <w:tc>
          <w:tcPr>
            <w:tcW w:w="700" w:type="dxa"/>
            <w:tcMar>
              <w:top w:w="0" w:type="dxa"/>
              <w:bottom w:w="0" w:type="dxa"/>
            </w:tcMar>
            <w:vAlign w:val="center"/>
          </w:tcPr>
          <w:p w:rsidR="00361E2F" w:rsidRDefault="00883EDC">
            <w:pPr>
              <w:keepNext/>
              <w:keepLines/>
              <w:spacing w:after="0" w:line="240" w:lineRule="auto"/>
            </w:pPr>
            <w:r>
              <w:rPr>
                <w:sz w:val="18"/>
              </w:rPr>
              <w:t>642</w:t>
            </w:r>
          </w:p>
        </w:tc>
        <w:tc>
          <w:tcPr>
            <w:tcW w:w="1860" w:type="dxa"/>
            <w:tcMar>
              <w:top w:w="0" w:type="dxa"/>
              <w:bottom w:w="0" w:type="dxa"/>
            </w:tcMar>
            <w:vAlign w:val="center"/>
          </w:tcPr>
          <w:p w:rsidR="00361E2F" w:rsidRDefault="00883EDC">
            <w:pPr>
              <w:keepNext/>
              <w:keepLines/>
              <w:spacing w:after="0" w:line="240" w:lineRule="auto"/>
              <w:jc w:val="right"/>
            </w:pPr>
            <w:r>
              <w:rPr>
                <w:sz w:val="18"/>
              </w:rPr>
              <w:t>179.780,47</w:t>
            </w:r>
          </w:p>
        </w:tc>
        <w:tc>
          <w:tcPr>
            <w:tcW w:w="1860" w:type="dxa"/>
            <w:tcMar>
              <w:top w:w="0" w:type="dxa"/>
              <w:bottom w:w="0" w:type="dxa"/>
            </w:tcMar>
            <w:vAlign w:val="center"/>
          </w:tcPr>
          <w:p w:rsidR="00361E2F" w:rsidRDefault="00883EDC">
            <w:pPr>
              <w:keepNext/>
              <w:keepLines/>
              <w:spacing w:after="0" w:line="240" w:lineRule="auto"/>
              <w:jc w:val="right"/>
            </w:pPr>
            <w:r>
              <w:rPr>
                <w:sz w:val="18"/>
              </w:rPr>
              <w:t>234.476,77</w:t>
            </w:r>
          </w:p>
        </w:tc>
        <w:tc>
          <w:tcPr>
            <w:tcW w:w="700" w:type="dxa"/>
            <w:tcMar>
              <w:top w:w="0" w:type="dxa"/>
              <w:bottom w:w="0" w:type="dxa"/>
            </w:tcMar>
            <w:vAlign w:val="center"/>
          </w:tcPr>
          <w:p w:rsidR="00361E2F" w:rsidRDefault="00883EDC">
            <w:pPr>
              <w:keepNext/>
              <w:keepLines/>
              <w:spacing w:after="0" w:line="240" w:lineRule="auto"/>
              <w:jc w:val="right"/>
            </w:pPr>
            <w:r>
              <w:rPr>
                <w:sz w:val="18"/>
              </w:rPr>
              <w:t>130,4</w:t>
            </w:r>
          </w:p>
        </w:tc>
      </w:tr>
    </w:tbl>
    <w:p w:rsidR="00361E2F" w:rsidRDefault="00361E2F">
      <w:pPr>
        <w:spacing w:after="0"/>
      </w:pPr>
    </w:p>
    <w:p w:rsidR="00361E2F" w:rsidRDefault="00883EDC">
      <w:pPr>
        <w:jc w:val="both"/>
      </w:pPr>
      <w:r>
        <w:t>Šifra 642 – Prihodi od nefinancijske imovine ostvareni su u iznosu od 232.476,77 eura što je za 30,4 % više nego u 2024. godini. Viši prihodi su po naplati dugovanja s osnove zakupa poslovnog prostora u izvještajnom razdoblju, realizaciji naknade za korištenje prostora elektrana i naknade za eksploataciju mineralnih sirovina.</w:t>
      </w:r>
    </w:p>
    <w:p w:rsidR="00361E2F" w:rsidRDefault="00361E2F"/>
    <w:p w:rsidR="00361E2F" w:rsidRDefault="00883ED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651</w:t>
            </w:r>
          </w:p>
        </w:tc>
        <w:tc>
          <w:tcPr>
            <w:tcW w:w="3180" w:type="dxa"/>
            <w:tcMar>
              <w:top w:w="0" w:type="dxa"/>
              <w:bottom w:w="0" w:type="dxa"/>
            </w:tcMar>
            <w:vAlign w:val="center"/>
          </w:tcPr>
          <w:p w:rsidR="00361E2F" w:rsidRDefault="00883EDC">
            <w:pPr>
              <w:keepNext/>
              <w:keepLines/>
              <w:spacing w:after="0" w:line="240" w:lineRule="auto"/>
            </w:pPr>
            <w:r>
              <w:rPr>
                <w:sz w:val="18"/>
              </w:rPr>
              <w:t>Upravne i administrativne pristojbe (šifre 6511 do 6514)</w:t>
            </w:r>
          </w:p>
        </w:tc>
        <w:tc>
          <w:tcPr>
            <w:tcW w:w="700" w:type="dxa"/>
            <w:tcMar>
              <w:top w:w="0" w:type="dxa"/>
              <w:bottom w:w="0" w:type="dxa"/>
            </w:tcMar>
            <w:vAlign w:val="center"/>
          </w:tcPr>
          <w:p w:rsidR="00361E2F" w:rsidRDefault="00883EDC">
            <w:pPr>
              <w:keepNext/>
              <w:keepLines/>
              <w:spacing w:after="0" w:line="240" w:lineRule="auto"/>
            </w:pPr>
            <w:r>
              <w:rPr>
                <w:sz w:val="18"/>
              </w:rPr>
              <w:t>651</w:t>
            </w:r>
          </w:p>
        </w:tc>
        <w:tc>
          <w:tcPr>
            <w:tcW w:w="1860" w:type="dxa"/>
            <w:tcMar>
              <w:top w:w="0" w:type="dxa"/>
              <w:bottom w:w="0" w:type="dxa"/>
            </w:tcMar>
            <w:vAlign w:val="center"/>
          </w:tcPr>
          <w:p w:rsidR="00361E2F" w:rsidRDefault="00883EDC">
            <w:pPr>
              <w:keepNext/>
              <w:keepLines/>
              <w:spacing w:after="0" w:line="240" w:lineRule="auto"/>
              <w:jc w:val="right"/>
            </w:pPr>
            <w:r>
              <w:rPr>
                <w:sz w:val="18"/>
              </w:rPr>
              <w:t>19.701,56</w:t>
            </w:r>
          </w:p>
        </w:tc>
        <w:tc>
          <w:tcPr>
            <w:tcW w:w="1860" w:type="dxa"/>
            <w:tcMar>
              <w:top w:w="0" w:type="dxa"/>
              <w:bottom w:w="0" w:type="dxa"/>
            </w:tcMar>
            <w:vAlign w:val="center"/>
          </w:tcPr>
          <w:p w:rsidR="00361E2F" w:rsidRDefault="00883EDC">
            <w:pPr>
              <w:keepNext/>
              <w:keepLines/>
              <w:spacing w:after="0" w:line="240" w:lineRule="auto"/>
              <w:jc w:val="right"/>
            </w:pPr>
            <w:r>
              <w:rPr>
                <w:sz w:val="18"/>
              </w:rPr>
              <w:t>20.064,12</w:t>
            </w:r>
          </w:p>
        </w:tc>
        <w:tc>
          <w:tcPr>
            <w:tcW w:w="700" w:type="dxa"/>
            <w:tcMar>
              <w:top w:w="0" w:type="dxa"/>
              <w:bottom w:w="0" w:type="dxa"/>
            </w:tcMar>
            <w:vAlign w:val="center"/>
          </w:tcPr>
          <w:p w:rsidR="00361E2F" w:rsidRDefault="00883EDC">
            <w:pPr>
              <w:keepNext/>
              <w:keepLines/>
              <w:spacing w:after="0" w:line="240" w:lineRule="auto"/>
              <w:jc w:val="right"/>
            </w:pPr>
            <w:r>
              <w:rPr>
                <w:sz w:val="18"/>
              </w:rPr>
              <w:t>101,8</w:t>
            </w:r>
          </w:p>
        </w:tc>
      </w:tr>
    </w:tbl>
    <w:p w:rsidR="00361E2F" w:rsidRDefault="00361E2F">
      <w:pPr>
        <w:spacing w:after="0"/>
      </w:pPr>
    </w:p>
    <w:p w:rsidR="00361E2F" w:rsidRDefault="00883EDC">
      <w:pPr>
        <w:jc w:val="both"/>
      </w:pPr>
      <w:r>
        <w:t>Šifra 651 – Upravne i administrativne pristojbe ostvarene su u iznosu od 20.064,12 eura, odnosno više za 1,8 % od istih u prošlogodišnjem razdoblju zbog većeg ostvarenog prihoda od korištenja javnih površina po izdanim Rješenjima.</w:t>
      </w:r>
    </w:p>
    <w:p w:rsidR="00361E2F" w:rsidRDefault="00361E2F"/>
    <w:p w:rsidR="00361E2F" w:rsidRDefault="00883ED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652</w:t>
            </w:r>
          </w:p>
        </w:tc>
        <w:tc>
          <w:tcPr>
            <w:tcW w:w="3180" w:type="dxa"/>
            <w:tcMar>
              <w:top w:w="0" w:type="dxa"/>
              <w:bottom w:w="0" w:type="dxa"/>
            </w:tcMar>
            <w:vAlign w:val="center"/>
          </w:tcPr>
          <w:p w:rsidR="00361E2F" w:rsidRDefault="00883EDC">
            <w:pPr>
              <w:keepNext/>
              <w:keepLines/>
              <w:spacing w:after="0" w:line="240" w:lineRule="auto"/>
            </w:pPr>
            <w:r>
              <w:rPr>
                <w:sz w:val="18"/>
              </w:rPr>
              <w:t>Prihodi po posebnim propisima (šifre 6521 do 6528)</w:t>
            </w:r>
          </w:p>
        </w:tc>
        <w:tc>
          <w:tcPr>
            <w:tcW w:w="700" w:type="dxa"/>
            <w:tcMar>
              <w:top w:w="0" w:type="dxa"/>
              <w:bottom w:w="0" w:type="dxa"/>
            </w:tcMar>
            <w:vAlign w:val="center"/>
          </w:tcPr>
          <w:p w:rsidR="00361E2F" w:rsidRDefault="00883EDC">
            <w:pPr>
              <w:keepNext/>
              <w:keepLines/>
              <w:spacing w:after="0" w:line="240" w:lineRule="auto"/>
            </w:pPr>
            <w:r>
              <w:rPr>
                <w:sz w:val="18"/>
              </w:rPr>
              <w:t>652</w:t>
            </w:r>
          </w:p>
        </w:tc>
        <w:tc>
          <w:tcPr>
            <w:tcW w:w="1860" w:type="dxa"/>
            <w:tcMar>
              <w:top w:w="0" w:type="dxa"/>
              <w:bottom w:w="0" w:type="dxa"/>
            </w:tcMar>
            <w:vAlign w:val="center"/>
          </w:tcPr>
          <w:p w:rsidR="00361E2F" w:rsidRDefault="00883EDC">
            <w:pPr>
              <w:keepNext/>
              <w:keepLines/>
              <w:spacing w:after="0" w:line="240" w:lineRule="auto"/>
              <w:jc w:val="right"/>
            </w:pPr>
            <w:r>
              <w:rPr>
                <w:sz w:val="18"/>
              </w:rPr>
              <w:t>183.706,84</w:t>
            </w:r>
          </w:p>
        </w:tc>
        <w:tc>
          <w:tcPr>
            <w:tcW w:w="1860" w:type="dxa"/>
            <w:tcMar>
              <w:top w:w="0" w:type="dxa"/>
              <w:bottom w:w="0" w:type="dxa"/>
            </w:tcMar>
            <w:vAlign w:val="center"/>
          </w:tcPr>
          <w:p w:rsidR="00361E2F" w:rsidRDefault="00883EDC">
            <w:pPr>
              <w:keepNext/>
              <w:keepLines/>
              <w:spacing w:after="0" w:line="240" w:lineRule="auto"/>
              <w:jc w:val="right"/>
            </w:pPr>
            <w:r>
              <w:rPr>
                <w:sz w:val="18"/>
              </w:rPr>
              <w:t>210.221,73</w:t>
            </w:r>
          </w:p>
        </w:tc>
        <w:tc>
          <w:tcPr>
            <w:tcW w:w="700" w:type="dxa"/>
            <w:tcMar>
              <w:top w:w="0" w:type="dxa"/>
              <w:bottom w:w="0" w:type="dxa"/>
            </w:tcMar>
            <w:vAlign w:val="center"/>
          </w:tcPr>
          <w:p w:rsidR="00361E2F" w:rsidRDefault="00883EDC">
            <w:pPr>
              <w:keepNext/>
              <w:keepLines/>
              <w:spacing w:after="0" w:line="240" w:lineRule="auto"/>
              <w:jc w:val="right"/>
            </w:pPr>
            <w:r>
              <w:rPr>
                <w:sz w:val="18"/>
              </w:rPr>
              <w:t>114,4</w:t>
            </w:r>
          </w:p>
        </w:tc>
      </w:tr>
    </w:tbl>
    <w:p w:rsidR="00361E2F" w:rsidRDefault="00361E2F">
      <w:pPr>
        <w:spacing w:after="0"/>
      </w:pPr>
    </w:p>
    <w:p w:rsidR="00361E2F" w:rsidRDefault="00883EDC">
      <w:pPr>
        <w:jc w:val="both"/>
      </w:pPr>
      <w:r>
        <w:t>Šifra 652 – Prihodi po posebnim propisima viši su od istih ostvarenih u 2024. godini za 14,4 % zbog naplaćenih potraživanja iz prijašnjih godine s osnove refundacije izrade prostorno planske dokumentacije, dok se šumski doprinos ostvario u manjem iznosu u odnosu na 2024. godinu, te naplaćenih participacija roditeljima u DV „Snježna pahulja“ i Područnim odjelima.</w:t>
      </w:r>
    </w:p>
    <w:p w:rsidR="00361E2F" w:rsidRDefault="00883EDC">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653</w:t>
            </w:r>
          </w:p>
        </w:tc>
        <w:tc>
          <w:tcPr>
            <w:tcW w:w="3180" w:type="dxa"/>
            <w:tcMar>
              <w:top w:w="0" w:type="dxa"/>
              <w:bottom w:w="0" w:type="dxa"/>
            </w:tcMar>
            <w:vAlign w:val="center"/>
          </w:tcPr>
          <w:p w:rsidR="00361E2F" w:rsidRDefault="00883EDC">
            <w:pPr>
              <w:keepNext/>
              <w:keepLines/>
              <w:spacing w:after="0" w:line="240" w:lineRule="auto"/>
            </w:pPr>
            <w:r>
              <w:rPr>
                <w:sz w:val="18"/>
              </w:rPr>
              <w:t>Komunalni doprinosi i naknade (šifre 6531 do 6533)</w:t>
            </w:r>
          </w:p>
        </w:tc>
        <w:tc>
          <w:tcPr>
            <w:tcW w:w="700" w:type="dxa"/>
            <w:tcMar>
              <w:top w:w="0" w:type="dxa"/>
              <w:bottom w:w="0" w:type="dxa"/>
            </w:tcMar>
            <w:vAlign w:val="center"/>
          </w:tcPr>
          <w:p w:rsidR="00361E2F" w:rsidRDefault="00883EDC">
            <w:pPr>
              <w:keepNext/>
              <w:keepLines/>
              <w:spacing w:after="0" w:line="240" w:lineRule="auto"/>
            </w:pPr>
            <w:r>
              <w:rPr>
                <w:sz w:val="18"/>
              </w:rPr>
              <w:t>653</w:t>
            </w:r>
          </w:p>
        </w:tc>
        <w:tc>
          <w:tcPr>
            <w:tcW w:w="1860" w:type="dxa"/>
            <w:tcMar>
              <w:top w:w="0" w:type="dxa"/>
              <w:bottom w:w="0" w:type="dxa"/>
            </w:tcMar>
            <w:vAlign w:val="center"/>
          </w:tcPr>
          <w:p w:rsidR="00361E2F" w:rsidRDefault="00883EDC">
            <w:pPr>
              <w:keepNext/>
              <w:keepLines/>
              <w:spacing w:after="0" w:line="240" w:lineRule="auto"/>
              <w:jc w:val="right"/>
            </w:pPr>
            <w:r>
              <w:rPr>
                <w:sz w:val="18"/>
              </w:rPr>
              <w:t>362.311,10</w:t>
            </w:r>
          </w:p>
        </w:tc>
        <w:tc>
          <w:tcPr>
            <w:tcW w:w="1860" w:type="dxa"/>
            <w:tcMar>
              <w:top w:w="0" w:type="dxa"/>
              <w:bottom w:w="0" w:type="dxa"/>
            </w:tcMar>
            <w:vAlign w:val="center"/>
          </w:tcPr>
          <w:p w:rsidR="00361E2F" w:rsidRDefault="00883EDC">
            <w:pPr>
              <w:keepNext/>
              <w:keepLines/>
              <w:spacing w:after="0" w:line="240" w:lineRule="auto"/>
              <w:jc w:val="right"/>
            </w:pPr>
            <w:r>
              <w:rPr>
                <w:sz w:val="18"/>
              </w:rPr>
              <w:t>508.870,27</w:t>
            </w:r>
          </w:p>
        </w:tc>
        <w:tc>
          <w:tcPr>
            <w:tcW w:w="700" w:type="dxa"/>
            <w:tcMar>
              <w:top w:w="0" w:type="dxa"/>
              <w:bottom w:w="0" w:type="dxa"/>
            </w:tcMar>
            <w:vAlign w:val="center"/>
          </w:tcPr>
          <w:p w:rsidR="00361E2F" w:rsidRDefault="00883EDC">
            <w:pPr>
              <w:keepNext/>
              <w:keepLines/>
              <w:spacing w:after="0" w:line="240" w:lineRule="auto"/>
              <w:jc w:val="right"/>
            </w:pPr>
            <w:r>
              <w:rPr>
                <w:sz w:val="18"/>
              </w:rPr>
              <w:t>140,5</w:t>
            </w:r>
          </w:p>
        </w:tc>
      </w:tr>
    </w:tbl>
    <w:p w:rsidR="00361E2F" w:rsidRDefault="00361E2F">
      <w:pPr>
        <w:spacing w:after="0"/>
      </w:pPr>
    </w:p>
    <w:p w:rsidR="00361E2F" w:rsidRDefault="00883EDC">
      <w:pPr>
        <w:jc w:val="both"/>
      </w:pPr>
      <w:r>
        <w:t>Šifra 653 – Komunalni doprinosi i naknade ostvareni su u iznosu od 508.870,27 eura, odnosno za 40,5 % više od usporednog razdoblja prošle godine. U 2025. godini ostvareno je veće povećanje prihoda po osnovi komunalne naknade zbog povećanja vrijednosti boda i prihoda od komunalnog doprinosa.</w:t>
      </w:r>
    </w:p>
    <w:p w:rsidR="00361E2F" w:rsidRDefault="00361E2F"/>
    <w:p w:rsidR="00361E2F" w:rsidRDefault="00883ED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661</w:t>
            </w:r>
          </w:p>
        </w:tc>
        <w:tc>
          <w:tcPr>
            <w:tcW w:w="3180" w:type="dxa"/>
            <w:tcMar>
              <w:top w:w="0" w:type="dxa"/>
              <w:bottom w:w="0" w:type="dxa"/>
            </w:tcMar>
            <w:vAlign w:val="center"/>
          </w:tcPr>
          <w:p w:rsidR="00361E2F" w:rsidRDefault="00883EDC">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361E2F" w:rsidRDefault="00883EDC">
            <w:pPr>
              <w:keepNext/>
              <w:keepLines/>
              <w:spacing w:after="0" w:line="240" w:lineRule="auto"/>
            </w:pPr>
            <w:r>
              <w:rPr>
                <w:sz w:val="18"/>
              </w:rPr>
              <w:t>661</w:t>
            </w:r>
          </w:p>
        </w:tc>
        <w:tc>
          <w:tcPr>
            <w:tcW w:w="1860" w:type="dxa"/>
            <w:tcMar>
              <w:top w:w="0" w:type="dxa"/>
              <w:bottom w:w="0" w:type="dxa"/>
            </w:tcMar>
            <w:vAlign w:val="center"/>
          </w:tcPr>
          <w:p w:rsidR="00361E2F" w:rsidRDefault="00883EDC">
            <w:pPr>
              <w:keepNext/>
              <w:keepLines/>
              <w:spacing w:after="0" w:line="240" w:lineRule="auto"/>
              <w:jc w:val="right"/>
            </w:pPr>
            <w:r>
              <w:rPr>
                <w:sz w:val="18"/>
              </w:rPr>
              <w:t>6.997,23</w:t>
            </w:r>
          </w:p>
        </w:tc>
        <w:tc>
          <w:tcPr>
            <w:tcW w:w="1860" w:type="dxa"/>
            <w:tcMar>
              <w:top w:w="0" w:type="dxa"/>
              <w:bottom w:w="0" w:type="dxa"/>
            </w:tcMar>
            <w:vAlign w:val="center"/>
          </w:tcPr>
          <w:p w:rsidR="00361E2F" w:rsidRDefault="00883EDC">
            <w:pPr>
              <w:keepNext/>
              <w:keepLines/>
              <w:spacing w:after="0" w:line="240" w:lineRule="auto"/>
              <w:jc w:val="right"/>
            </w:pPr>
            <w:r>
              <w:rPr>
                <w:sz w:val="18"/>
              </w:rPr>
              <w:t>8.464,16</w:t>
            </w:r>
          </w:p>
        </w:tc>
        <w:tc>
          <w:tcPr>
            <w:tcW w:w="700" w:type="dxa"/>
            <w:tcMar>
              <w:top w:w="0" w:type="dxa"/>
              <w:bottom w:w="0" w:type="dxa"/>
            </w:tcMar>
            <w:vAlign w:val="center"/>
          </w:tcPr>
          <w:p w:rsidR="00361E2F" w:rsidRDefault="00883EDC">
            <w:pPr>
              <w:keepNext/>
              <w:keepLines/>
              <w:spacing w:after="0" w:line="240" w:lineRule="auto"/>
              <w:jc w:val="right"/>
            </w:pPr>
            <w:r>
              <w:rPr>
                <w:sz w:val="18"/>
              </w:rPr>
              <w:t>121,0</w:t>
            </w:r>
          </w:p>
        </w:tc>
      </w:tr>
    </w:tbl>
    <w:p w:rsidR="00361E2F" w:rsidRDefault="00361E2F">
      <w:pPr>
        <w:spacing w:after="0"/>
      </w:pPr>
    </w:p>
    <w:p w:rsidR="00361E2F" w:rsidRDefault="00883EDC">
      <w:pPr>
        <w:jc w:val="both"/>
      </w:pPr>
      <w:r>
        <w:t>Šifra 661 – Prihodi od prodaje proizvoda i robe te pruženih usluga viši su za 21,0 % od onih u razdoblju siječanj – prosinac 2025. godine zbog bolje naplate potraživanja od Hrvatskih voda za uslugu naplate naknade za uređenje voda.</w:t>
      </w:r>
    </w:p>
    <w:p w:rsidR="00361E2F" w:rsidRDefault="00361E2F"/>
    <w:p w:rsidR="00361E2F" w:rsidRDefault="00883EDC">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663</w:t>
            </w:r>
          </w:p>
        </w:tc>
        <w:tc>
          <w:tcPr>
            <w:tcW w:w="3180" w:type="dxa"/>
            <w:tcMar>
              <w:top w:w="0" w:type="dxa"/>
              <w:bottom w:w="0" w:type="dxa"/>
            </w:tcMar>
            <w:vAlign w:val="center"/>
          </w:tcPr>
          <w:p w:rsidR="00361E2F" w:rsidRDefault="00883EDC">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361E2F" w:rsidRDefault="00883EDC">
            <w:pPr>
              <w:keepNext/>
              <w:keepLines/>
              <w:spacing w:after="0" w:line="240" w:lineRule="auto"/>
            </w:pPr>
            <w:r>
              <w:rPr>
                <w:sz w:val="18"/>
              </w:rPr>
              <w:t>663</w:t>
            </w:r>
          </w:p>
        </w:tc>
        <w:tc>
          <w:tcPr>
            <w:tcW w:w="1860" w:type="dxa"/>
            <w:tcMar>
              <w:top w:w="0" w:type="dxa"/>
              <w:bottom w:w="0" w:type="dxa"/>
            </w:tcMar>
            <w:vAlign w:val="center"/>
          </w:tcPr>
          <w:p w:rsidR="00361E2F" w:rsidRDefault="00883EDC">
            <w:pPr>
              <w:keepNext/>
              <w:keepLines/>
              <w:spacing w:after="0" w:line="240" w:lineRule="auto"/>
              <w:jc w:val="right"/>
            </w:pPr>
            <w:r>
              <w:rPr>
                <w:sz w:val="18"/>
              </w:rPr>
              <w:t>12.769,75</w:t>
            </w:r>
          </w:p>
        </w:tc>
        <w:tc>
          <w:tcPr>
            <w:tcW w:w="1860" w:type="dxa"/>
            <w:tcMar>
              <w:top w:w="0" w:type="dxa"/>
              <w:bottom w:w="0" w:type="dxa"/>
            </w:tcMar>
            <w:vAlign w:val="center"/>
          </w:tcPr>
          <w:p w:rsidR="00361E2F" w:rsidRDefault="00883EDC">
            <w:pPr>
              <w:keepNext/>
              <w:keepLines/>
              <w:spacing w:after="0" w:line="240" w:lineRule="auto"/>
              <w:jc w:val="right"/>
            </w:pPr>
            <w:r>
              <w:rPr>
                <w:sz w:val="18"/>
              </w:rPr>
              <w:t>900,00</w:t>
            </w:r>
          </w:p>
        </w:tc>
        <w:tc>
          <w:tcPr>
            <w:tcW w:w="700" w:type="dxa"/>
            <w:tcMar>
              <w:top w:w="0" w:type="dxa"/>
              <w:bottom w:w="0" w:type="dxa"/>
            </w:tcMar>
            <w:vAlign w:val="center"/>
          </w:tcPr>
          <w:p w:rsidR="00361E2F" w:rsidRDefault="00883EDC">
            <w:pPr>
              <w:keepNext/>
              <w:keepLines/>
              <w:spacing w:after="0" w:line="240" w:lineRule="auto"/>
              <w:jc w:val="right"/>
            </w:pPr>
            <w:r>
              <w:rPr>
                <w:sz w:val="18"/>
              </w:rPr>
              <w:t>7,0</w:t>
            </w:r>
          </w:p>
        </w:tc>
      </w:tr>
    </w:tbl>
    <w:p w:rsidR="00361E2F" w:rsidRDefault="00361E2F">
      <w:pPr>
        <w:spacing w:after="0"/>
      </w:pPr>
    </w:p>
    <w:p w:rsidR="00361E2F" w:rsidRDefault="00883EDC">
      <w:pPr>
        <w:jc w:val="both"/>
      </w:pPr>
      <w:r>
        <w:t>Šifra 663 – Donacije od pravnih i fizičkih osoba izvan općeg proračuna u izvještajnom razdoblju su se realizirale kod DV „Snježna pahulja“ u iznosu od 900,00 eura.</w:t>
      </w:r>
    </w:p>
    <w:p w:rsidR="00361E2F" w:rsidRDefault="00883EDC">
      <w:r>
        <w:t> </w:t>
      </w:r>
    </w:p>
    <w:p w:rsidR="00361E2F" w:rsidRDefault="00361E2F"/>
    <w:p w:rsidR="00361E2F" w:rsidRDefault="00883ED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31</w:t>
            </w:r>
          </w:p>
        </w:tc>
        <w:tc>
          <w:tcPr>
            <w:tcW w:w="3180" w:type="dxa"/>
            <w:tcMar>
              <w:top w:w="0" w:type="dxa"/>
              <w:bottom w:w="0" w:type="dxa"/>
            </w:tcMar>
            <w:vAlign w:val="center"/>
          </w:tcPr>
          <w:p w:rsidR="00361E2F" w:rsidRDefault="00883EDC">
            <w:pPr>
              <w:keepNext/>
              <w:keepLines/>
              <w:spacing w:after="0" w:line="240" w:lineRule="auto"/>
            </w:pPr>
            <w:r>
              <w:rPr>
                <w:sz w:val="18"/>
              </w:rPr>
              <w:t>Rashodi za zaposlene (šifre 311+312+313)</w:t>
            </w:r>
          </w:p>
        </w:tc>
        <w:tc>
          <w:tcPr>
            <w:tcW w:w="700" w:type="dxa"/>
            <w:tcMar>
              <w:top w:w="0" w:type="dxa"/>
              <w:bottom w:w="0" w:type="dxa"/>
            </w:tcMar>
            <w:vAlign w:val="center"/>
          </w:tcPr>
          <w:p w:rsidR="00361E2F" w:rsidRDefault="00883EDC">
            <w:pPr>
              <w:keepNext/>
              <w:keepLines/>
              <w:spacing w:after="0" w:line="240" w:lineRule="auto"/>
            </w:pPr>
            <w:r>
              <w:rPr>
                <w:sz w:val="18"/>
              </w:rPr>
              <w:t>31</w:t>
            </w:r>
          </w:p>
        </w:tc>
        <w:tc>
          <w:tcPr>
            <w:tcW w:w="1860" w:type="dxa"/>
            <w:tcMar>
              <w:top w:w="0" w:type="dxa"/>
              <w:bottom w:w="0" w:type="dxa"/>
            </w:tcMar>
            <w:vAlign w:val="center"/>
          </w:tcPr>
          <w:p w:rsidR="00361E2F" w:rsidRDefault="00883EDC">
            <w:pPr>
              <w:keepNext/>
              <w:keepLines/>
              <w:spacing w:after="0" w:line="240" w:lineRule="auto"/>
              <w:jc w:val="right"/>
            </w:pPr>
            <w:r>
              <w:rPr>
                <w:sz w:val="18"/>
              </w:rPr>
              <w:t>608.359,26</w:t>
            </w:r>
          </w:p>
        </w:tc>
        <w:tc>
          <w:tcPr>
            <w:tcW w:w="1860" w:type="dxa"/>
            <w:tcMar>
              <w:top w:w="0" w:type="dxa"/>
              <w:bottom w:w="0" w:type="dxa"/>
            </w:tcMar>
            <w:vAlign w:val="center"/>
          </w:tcPr>
          <w:p w:rsidR="00361E2F" w:rsidRDefault="00883EDC">
            <w:pPr>
              <w:keepNext/>
              <w:keepLines/>
              <w:spacing w:after="0" w:line="240" w:lineRule="auto"/>
              <w:jc w:val="right"/>
            </w:pPr>
            <w:r>
              <w:rPr>
                <w:sz w:val="18"/>
              </w:rPr>
              <w:t>911.330,27</w:t>
            </w:r>
          </w:p>
        </w:tc>
        <w:tc>
          <w:tcPr>
            <w:tcW w:w="700" w:type="dxa"/>
            <w:tcMar>
              <w:top w:w="0" w:type="dxa"/>
              <w:bottom w:w="0" w:type="dxa"/>
            </w:tcMar>
            <w:vAlign w:val="center"/>
          </w:tcPr>
          <w:p w:rsidR="00361E2F" w:rsidRDefault="00883EDC">
            <w:pPr>
              <w:keepNext/>
              <w:keepLines/>
              <w:spacing w:after="0" w:line="240" w:lineRule="auto"/>
              <w:jc w:val="right"/>
            </w:pPr>
            <w:r>
              <w:rPr>
                <w:sz w:val="18"/>
              </w:rPr>
              <w:t>149,8</w:t>
            </w:r>
          </w:p>
        </w:tc>
      </w:tr>
    </w:tbl>
    <w:p w:rsidR="00361E2F" w:rsidRDefault="00361E2F">
      <w:pPr>
        <w:spacing w:after="0"/>
      </w:pPr>
    </w:p>
    <w:p w:rsidR="00361E2F" w:rsidRDefault="00883EDC">
      <w:pPr>
        <w:jc w:val="both"/>
      </w:pPr>
      <w:r>
        <w:t xml:space="preserve">Šifra 31 – Rashodi za zaposlene ostvareni su u iznosu od 911.330,27 eura što je za 49,8 % više nego u lanjskom razdoblju, a što je rezultat povećanja plaća zaposlenih. Obuhvaćaju izdatke za </w:t>
      </w:r>
      <w:r>
        <w:lastRenderedPageBreak/>
        <w:t>bruto plaće zaposlenih, doprinose za obvezno zdravstveno osiguranje te ostale rashode za zaposlene.</w:t>
      </w:r>
    </w:p>
    <w:p w:rsidR="00361E2F" w:rsidRDefault="00883EDC">
      <w:pPr>
        <w:jc w:val="both"/>
      </w:pPr>
      <w:r>
        <w:t>Navedeno povećanje rezultat je povećanja plaća zaposlenih u Općini kao i u Programu ZAŽELI – IV. Fazi i povećanje plaća u DV „Snježna pahulja“.</w:t>
      </w:r>
    </w:p>
    <w:p w:rsidR="00361E2F" w:rsidRDefault="00361E2F"/>
    <w:p w:rsidR="00361E2F" w:rsidRDefault="00883EDC">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321</w:t>
            </w:r>
          </w:p>
        </w:tc>
        <w:tc>
          <w:tcPr>
            <w:tcW w:w="3180" w:type="dxa"/>
            <w:tcMar>
              <w:top w:w="0" w:type="dxa"/>
              <w:bottom w:w="0" w:type="dxa"/>
            </w:tcMar>
            <w:vAlign w:val="center"/>
          </w:tcPr>
          <w:p w:rsidR="00361E2F" w:rsidRDefault="00883EDC">
            <w:pPr>
              <w:keepNext/>
              <w:keepLines/>
              <w:spacing w:after="0" w:line="240" w:lineRule="auto"/>
            </w:pPr>
            <w:r>
              <w:rPr>
                <w:sz w:val="18"/>
              </w:rPr>
              <w:t>Naknade troškova zaposlenima (šifre 3211 do 3214)</w:t>
            </w:r>
          </w:p>
        </w:tc>
        <w:tc>
          <w:tcPr>
            <w:tcW w:w="700" w:type="dxa"/>
            <w:tcMar>
              <w:top w:w="0" w:type="dxa"/>
              <w:bottom w:w="0" w:type="dxa"/>
            </w:tcMar>
            <w:vAlign w:val="center"/>
          </w:tcPr>
          <w:p w:rsidR="00361E2F" w:rsidRDefault="00883EDC">
            <w:pPr>
              <w:keepNext/>
              <w:keepLines/>
              <w:spacing w:after="0" w:line="240" w:lineRule="auto"/>
            </w:pPr>
            <w:r>
              <w:rPr>
                <w:sz w:val="18"/>
              </w:rPr>
              <w:t>321</w:t>
            </w:r>
          </w:p>
        </w:tc>
        <w:tc>
          <w:tcPr>
            <w:tcW w:w="1860" w:type="dxa"/>
            <w:tcMar>
              <w:top w:w="0" w:type="dxa"/>
              <w:bottom w:w="0" w:type="dxa"/>
            </w:tcMar>
            <w:vAlign w:val="center"/>
          </w:tcPr>
          <w:p w:rsidR="00361E2F" w:rsidRDefault="00883EDC">
            <w:pPr>
              <w:keepNext/>
              <w:keepLines/>
              <w:spacing w:after="0" w:line="240" w:lineRule="auto"/>
              <w:jc w:val="right"/>
            </w:pPr>
            <w:r>
              <w:rPr>
                <w:sz w:val="18"/>
              </w:rPr>
              <w:t>26.965,72</w:t>
            </w:r>
          </w:p>
        </w:tc>
        <w:tc>
          <w:tcPr>
            <w:tcW w:w="1860" w:type="dxa"/>
            <w:tcMar>
              <w:top w:w="0" w:type="dxa"/>
              <w:bottom w:w="0" w:type="dxa"/>
            </w:tcMar>
            <w:vAlign w:val="center"/>
          </w:tcPr>
          <w:p w:rsidR="00361E2F" w:rsidRDefault="00883EDC">
            <w:pPr>
              <w:keepNext/>
              <w:keepLines/>
              <w:spacing w:after="0" w:line="240" w:lineRule="auto"/>
              <w:jc w:val="right"/>
            </w:pPr>
            <w:r>
              <w:rPr>
                <w:sz w:val="18"/>
              </w:rPr>
              <w:t>44.034,81</w:t>
            </w:r>
          </w:p>
        </w:tc>
        <w:tc>
          <w:tcPr>
            <w:tcW w:w="700" w:type="dxa"/>
            <w:tcMar>
              <w:top w:w="0" w:type="dxa"/>
              <w:bottom w:w="0" w:type="dxa"/>
            </w:tcMar>
            <w:vAlign w:val="center"/>
          </w:tcPr>
          <w:p w:rsidR="00361E2F" w:rsidRDefault="00883EDC">
            <w:pPr>
              <w:keepNext/>
              <w:keepLines/>
              <w:spacing w:after="0" w:line="240" w:lineRule="auto"/>
              <w:jc w:val="right"/>
            </w:pPr>
            <w:r>
              <w:rPr>
                <w:sz w:val="18"/>
              </w:rPr>
              <w:t>163,3</w:t>
            </w:r>
          </w:p>
        </w:tc>
      </w:tr>
    </w:tbl>
    <w:p w:rsidR="00361E2F" w:rsidRDefault="00361E2F">
      <w:pPr>
        <w:spacing w:after="0"/>
      </w:pPr>
    </w:p>
    <w:p w:rsidR="00361E2F" w:rsidRDefault="00883EDC">
      <w:pPr>
        <w:jc w:val="both"/>
      </w:pPr>
      <w:r>
        <w:t>Šifra 321 – Naknade troškova zaposlenima ostvarene su u izvještajnom razdoblju u iznosu od 24.315,62 eura što je za 63,3 % više od istih 2024. godine. Razlog povećanja je veća realizacija naknade troškova prijevoza zaposlenih u Općini i zaposlenih u Programu ZAŽELI – IV. Faza, kao i zaposlenim u DV „Snježna pahulja“.</w:t>
      </w:r>
    </w:p>
    <w:p w:rsidR="00361E2F" w:rsidRDefault="00361E2F"/>
    <w:p w:rsidR="00361E2F" w:rsidRDefault="00883EDC">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322</w:t>
            </w:r>
          </w:p>
        </w:tc>
        <w:tc>
          <w:tcPr>
            <w:tcW w:w="3180" w:type="dxa"/>
            <w:tcMar>
              <w:top w:w="0" w:type="dxa"/>
              <w:bottom w:w="0" w:type="dxa"/>
            </w:tcMar>
            <w:vAlign w:val="center"/>
          </w:tcPr>
          <w:p w:rsidR="00361E2F" w:rsidRDefault="00883EDC">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361E2F" w:rsidRDefault="00883EDC">
            <w:pPr>
              <w:keepNext/>
              <w:keepLines/>
              <w:spacing w:after="0" w:line="240" w:lineRule="auto"/>
            </w:pPr>
            <w:r>
              <w:rPr>
                <w:sz w:val="18"/>
              </w:rPr>
              <w:t>322</w:t>
            </w:r>
          </w:p>
        </w:tc>
        <w:tc>
          <w:tcPr>
            <w:tcW w:w="1860" w:type="dxa"/>
            <w:tcMar>
              <w:top w:w="0" w:type="dxa"/>
              <w:bottom w:w="0" w:type="dxa"/>
            </w:tcMar>
            <w:vAlign w:val="center"/>
          </w:tcPr>
          <w:p w:rsidR="00361E2F" w:rsidRDefault="00883EDC">
            <w:pPr>
              <w:keepNext/>
              <w:keepLines/>
              <w:spacing w:after="0" w:line="240" w:lineRule="auto"/>
              <w:jc w:val="right"/>
            </w:pPr>
            <w:r>
              <w:rPr>
                <w:sz w:val="18"/>
              </w:rPr>
              <w:t>129.987,27</w:t>
            </w:r>
          </w:p>
        </w:tc>
        <w:tc>
          <w:tcPr>
            <w:tcW w:w="1860" w:type="dxa"/>
            <w:tcMar>
              <w:top w:w="0" w:type="dxa"/>
              <w:bottom w:w="0" w:type="dxa"/>
            </w:tcMar>
            <w:vAlign w:val="center"/>
          </w:tcPr>
          <w:p w:rsidR="00361E2F" w:rsidRDefault="00883EDC">
            <w:pPr>
              <w:keepNext/>
              <w:keepLines/>
              <w:spacing w:after="0" w:line="240" w:lineRule="auto"/>
              <w:jc w:val="right"/>
            </w:pPr>
            <w:r>
              <w:rPr>
                <w:sz w:val="18"/>
              </w:rPr>
              <w:t>158.090,95</w:t>
            </w:r>
          </w:p>
        </w:tc>
        <w:tc>
          <w:tcPr>
            <w:tcW w:w="700" w:type="dxa"/>
            <w:tcMar>
              <w:top w:w="0" w:type="dxa"/>
              <w:bottom w:w="0" w:type="dxa"/>
            </w:tcMar>
            <w:vAlign w:val="center"/>
          </w:tcPr>
          <w:p w:rsidR="00361E2F" w:rsidRDefault="00883EDC">
            <w:pPr>
              <w:keepNext/>
              <w:keepLines/>
              <w:spacing w:after="0" w:line="240" w:lineRule="auto"/>
              <w:jc w:val="right"/>
            </w:pPr>
            <w:r>
              <w:rPr>
                <w:sz w:val="18"/>
              </w:rPr>
              <w:t>121,6</w:t>
            </w:r>
          </w:p>
        </w:tc>
      </w:tr>
    </w:tbl>
    <w:p w:rsidR="00361E2F" w:rsidRDefault="00361E2F">
      <w:pPr>
        <w:spacing w:after="0"/>
      </w:pPr>
    </w:p>
    <w:p w:rsidR="00361E2F" w:rsidRDefault="00883EDC" w:rsidP="00712C3D">
      <w:pPr>
        <w:jc w:val="both"/>
      </w:pPr>
      <w:r>
        <w:t>Šifra 322 – Rashodi za materijal i energiju ostvareni su u iznosu od 158.090,95 eura što je za 21,6 % više nego u istom razdoblju prošle godine i to u stavci uredski materijal i ostali materijalni rashodi.</w:t>
      </w:r>
    </w:p>
    <w:p w:rsidR="00361E2F" w:rsidRDefault="00361E2F"/>
    <w:p w:rsidR="00361E2F" w:rsidRDefault="00883ED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323</w:t>
            </w:r>
          </w:p>
        </w:tc>
        <w:tc>
          <w:tcPr>
            <w:tcW w:w="3180" w:type="dxa"/>
            <w:tcMar>
              <w:top w:w="0" w:type="dxa"/>
              <w:bottom w:w="0" w:type="dxa"/>
            </w:tcMar>
            <w:vAlign w:val="center"/>
          </w:tcPr>
          <w:p w:rsidR="00361E2F" w:rsidRDefault="00883EDC">
            <w:pPr>
              <w:keepNext/>
              <w:keepLines/>
              <w:spacing w:after="0" w:line="240" w:lineRule="auto"/>
            </w:pPr>
            <w:r>
              <w:rPr>
                <w:sz w:val="18"/>
              </w:rPr>
              <w:t>Rashodi za usluge (šifre 3231 do 3239)</w:t>
            </w:r>
          </w:p>
        </w:tc>
        <w:tc>
          <w:tcPr>
            <w:tcW w:w="700" w:type="dxa"/>
            <w:tcMar>
              <w:top w:w="0" w:type="dxa"/>
              <w:bottom w:w="0" w:type="dxa"/>
            </w:tcMar>
            <w:vAlign w:val="center"/>
          </w:tcPr>
          <w:p w:rsidR="00361E2F" w:rsidRDefault="00883EDC">
            <w:pPr>
              <w:keepNext/>
              <w:keepLines/>
              <w:spacing w:after="0" w:line="240" w:lineRule="auto"/>
            </w:pPr>
            <w:r>
              <w:rPr>
                <w:sz w:val="18"/>
              </w:rPr>
              <w:t>323</w:t>
            </w:r>
          </w:p>
        </w:tc>
        <w:tc>
          <w:tcPr>
            <w:tcW w:w="1860" w:type="dxa"/>
            <w:tcMar>
              <w:top w:w="0" w:type="dxa"/>
              <w:bottom w:w="0" w:type="dxa"/>
            </w:tcMar>
            <w:vAlign w:val="center"/>
          </w:tcPr>
          <w:p w:rsidR="00361E2F" w:rsidRDefault="00883EDC">
            <w:pPr>
              <w:keepNext/>
              <w:keepLines/>
              <w:spacing w:after="0" w:line="240" w:lineRule="auto"/>
              <w:jc w:val="right"/>
            </w:pPr>
            <w:r>
              <w:rPr>
                <w:sz w:val="18"/>
              </w:rPr>
              <w:t>1.026.759,21</w:t>
            </w:r>
          </w:p>
        </w:tc>
        <w:tc>
          <w:tcPr>
            <w:tcW w:w="1860" w:type="dxa"/>
            <w:tcMar>
              <w:top w:w="0" w:type="dxa"/>
              <w:bottom w:w="0" w:type="dxa"/>
            </w:tcMar>
            <w:vAlign w:val="center"/>
          </w:tcPr>
          <w:p w:rsidR="00361E2F" w:rsidRDefault="00883EDC">
            <w:pPr>
              <w:keepNext/>
              <w:keepLines/>
              <w:spacing w:after="0" w:line="240" w:lineRule="auto"/>
              <w:jc w:val="right"/>
            </w:pPr>
            <w:r>
              <w:rPr>
                <w:sz w:val="18"/>
              </w:rPr>
              <w:t>1.022.046,18</w:t>
            </w:r>
          </w:p>
        </w:tc>
        <w:tc>
          <w:tcPr>
            <w:tcW w:w="700" w:type="dxa"/>
            <w:tcMar>
              <w:top w:w="0" w:type="dxa"/>
              <w:bottom w:w="0" w:type="dxa"/>
            </w:tcMar>
            <w:vAlign w:val="center"/>
          </w:tcPr>
          <w:p w:rsidR="00361E2F" w:rsidRDefault="00883EDC">
            <w:pPr>
              <w:keepNext/>
              <w:keepLines/>
              <w:spacing w:after="0" w:line="240" w:lineRule="auto"/>
              <w:jc w:val="right"/>
            </w:pPr>
            <w:r>
              <w:rPr>
                <w:sz w:val="18"/>
              </w:rPr>
              <w:t>99,5</w:t>
            </w:r>
          </w:p>
        </w:tc>
      </w:tr>
    </w:tbl>
    <w:p w:rsidR="00361E2F" w:rsidRDefault="00361E2F">
      <w:pPr>
        <w:spacing w:after="0"/>
      </w:pPr>
    </w:p>
    <w:p w:rsidR="00361E2F" w:rsidRDefault="00883EDC" w:rsidP="00712C3D">
      <w:pPr>
        <w:jc w:val="both"/>
      </w:pPr>
      <w:r>
        <w:t xml:space="preserve">Šifra 323 – Rashodi za usluge ostvareni su u razdoblju siječanj-prosinac 2025. godine u visini od 1.022.046,18 eura što je za 0,5 % manje od istih u prošlogodišnjem izvještajnom razdoblju, te se isti rashodi odnose na troškove usluge održavanja koje Općina </w:t>
      </w:r>
      <w:proofErr w:type="spellStart"/>
      <w:r>
        <w:t>Fužine</w:t>
      </w:r>
      <w:proofErr w:type="spellEnd"/>
      <w:r>
        <w:t xml:space="preserve"> ima kroz svoje Komunalno-trgovačko društvo </w:t>
      </w:r>
      <w:proofErr w:type="spellStart"/>
      <w:r>
        <w:t>Fužine</w:t>
      </w:r>
      <w:proofErr w:type="spellEnd"/>
      <w:r>
        <w:t xml:space="preserve"> d.o.o.</w:t>
      </w:r>
    </w:p>
    <w:p w:rsidR="00361E2F" w:rsidRDefault="00361E2F" w:rsidP="00712C3D">
      <w:pPr>
        <w:jc w:val="both"/>
      </w:pPr>
    </w:p>
    <w:p w:rsidR="00361E2F" w:rsidRDefault="00883EDC">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329</w:t>
            </w:r>
          </w:p>
        </w:tc>
        <w:tc>
          <w:tcPr>
            <w:tcW w:w="3180" w:type="dxa"/>
            <w:tcMar>
              <w:top w:w="0" w:type="dxa"/>
              <w:bottom w:w="0" w:type="dxa"/>
            </w:tcMar>
            <w:vAlign w:val="center"/>
          </w:tcPr>
          <w:p w:rsidR="00361E2F" w:rsidRDefault="00883EDC">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361E2F" w:rsidRDefault="00883EDC">
            <w:pPr>
              <w:keepNext/>
              <w:keepLines/>
              <w:spacing w:after="0" w:line="240" w:lineRule="auto"/>
            </w:pPr>
            <w:r>
              <w:rPr>
                <w:sz w:val="18"/>
              </w:rPr>
              <w:t>329</w:t>
            </w:r>
          </w:p>
        </w:tc>
        <w:tc>
          <w:tcPr>
            <w:tcW w:w="1860" w:type="dxa"/>
            <w:tcMar>
              <w:top w:w="0" w:type="dxa"/>
              <w:bottom w:w="0" w:type="dxa"/>
            </w:tcMar>
            <w:vAlign w:val="center"/>
          </w:tcPr>
          <w:p w:rsidR="00361E2F" w:rsidRDefault="00883EDC">
            <w:pPr>
              <w:keepNext/>
              <w:keepLines/>
              <w:spacing w:after="0" w:line="240" w:lineRule="auto"/>
              <w:jc w:val="right"/>
            </w:pPr>
            <w:r>
              <w:rPr>
                <w:sz w:val="18"/>
              </w:rPr>
              <w:t>54.439,68</w:t>
            </w:r>
          </w:p>
        </w:tc>
        <w:tc>
          <w:tcPr>
            <w:tcW w:w="1860" w:type="dxa"/>
            <w:tcMar>
              <w:top w:w="0" w:type="dxa"/>
              <w:bottom w:w="0" w:type="dxa"/>
            </w:tcMar>
            <w:vAlign w:val="center"/>
          </w:tcPr>
          <w:p w:rsidR="00361E2F" w:rsidRDefault="00883EDC">
            <w:pPr>
              <w:keepNext/>
              <w:keepLines/>
              <w:spacing w:after="0" w:line="240" w:lineRule="auto"/>
              <w:jc w:val="right"/>
            </w:pPr>
            <w:r>
              <w:rPr>
                <w:sz w:val="18"/>
              </w:rPr>
              <w:t>188.164,47</w:t>
            </w:r>
          </w:p>
        </w:tc>
        <w:tc>
          <w:tcPr>
            <w:tcW w:w="700" w:type="dxa"/>
            <w:tcMar>
              <w:top w:w="0" w:type="dxa"/>
              <w:bottom w:w="0" w:type="dxa"/>
            </w:tcMar>
            <w:vAlign w:val="center"/>
          </w:tcPr>
          <w:p w:rsidR="00361E2F" w:rsidRDefault="00883EDC">
            <w:pPr>
              <w:keepNext/>
              <w:keepLines/>
              <w:spacing w:after="0" w:line="240" w:lineRule="auto"/>
              <w:jc w:val="right"/>
            </w:pPr>
            <w:r>
              <w:rPr>
                <w:sz w:val="18"/>
              </w:rPr>
              <w:t>345,6</w:t>
            </w:r>
          </w:p>
        </w:tc>
      </w:tr>
    </w:tbl>
    <w:p w:rsidR="00361E2F" w:rsidRDefault="00361E2F">
      <w:pPr>
        <w:spacing w:after="0"/>
      </w:pPr>
    </w:p>
    <w:p w:rsidR="00361E2F" w:rsidRDefault="00883EDC" w:rsidP="00712C3D">
      <w:pPr>
        <w:jc w:val="both"/>
      </w:pPr>
      <w:r>
        <w:t>Šifra 329 – Ostali nespomenuti rashodi poslovanja ostvareni su u iznosu od 188.164,47 eura što je za 245,6 % više od istih 2024. godine.</w:t>
      </w:r>
    </w:p>
    <w:p w:rsidR="00361E2F" w:rsidRDefault="00883EDC" w:rsidP="00712C3D">
      <w:pPr>
        <w:jc w:val="both"/>
      </w:pPr>
      <w:r>
        <w:t>Najveće povećanje bilježe ostali nespomenuti rashodi poslovanja sa 574,3% više u odnosu na prošlu godinu, a koji obuhvaćaju troškove lokalnih izbora čega u 2024. godini nije bilo kao i evidentiranja povrata poreza na dohodak po godišnjoj poreznoj prijavi za 2025. godinu.</w:t>
      </w:r>
    </w:p>
    <w:p w:rsidR="00361E2F" w:rsidRDefault="00361E2F"/>
    <w:p w:rsidR="00361E2F" w:rsidRDefault="00883EDC">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342</w:t>
            </w:r>
          </w:p>
        </w:tc>
        <w:tc>
          <w:tcPr>
            <w:tcW w:w="3180" w:type="dxa"/>
            <w:tcMar>
              <w:top w:w="0" w:type="dxa"/>
              <w:bottom w:w="0" w:type="dxa"/>
            </w:tcMar>
            <w:vAlign w:val="center"/>
          </w:tcPr>
          <w:p w:rsidR="00361E2F" w:rsidRDefault="00883EDC">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rsidR="00361E2F" w:rsidRDefault="00883EDC">
            <w:pPr>
              <w:keepNext/>
              <w:keepLines/>
              <w:spacing w:after="0" w:line="240" w:lineRule="auto"/>
            </w:pPr>
            <w:r>
              <w:rPr>
                <w:sz w:val="18"/>
              </w:rPr>
              <w:t>342</w:t>
            </w:r>
          </w:p>
        </w:tc>
        <w:tc>
          <w:tcPr>
            <w:tcW w:w="1860" w:type="dxa"/>
            <w:tcMar>
              <w:top w:w="0" w:type="dxa"/>
              <w:bottom w:w="0" w:type="dxa"/>
            </w:tcMar>
            <w:vAlign w:val="center"/>
          </w:tcPr>
          <w:p w:rsidR="00361E2F" w:rsidRDefault="00883EDC">
            <w:pPr>
              <w:keepNext/>
              <w:keepLines/>
              <w:spacing w:after="0" w:line="240" w:lineRule="auto"/>
              <w:jc w:val="right"/>
            </w:pPr>
            <w:r>
              <w:rPr>
                <w:sz w:val="18"/>
              </w:rPr>
              <w:t>2.891,01</w:t>
            </w:r>
          </w:p>
        </w:tc>
        <w:tc>
          <w:tcPr>
            <w:tcW w:w="1860" w:type="dxa"/>
            <w:tcMar>
              <w:top w:w="0" w:type="dxa"/>
              <w:bottom w:w="0" w:type="dxa"/>
            </w:tcMar>
            <w:vAlign w:val="center"/>
          </w:tcPr>
          <w:p w:rsidR="00361E2F" w:rsidRDefault="00883EDC">
            <w:pPr>
              <w:keepNext/>
              <w:keepLines/>
              <w:spacing w:after="0" w:line="240" w:lineRule="auto"/>
              <w:jc w:val="right"/>
            </w:pPr>
            <w:r>
              <w:rPr>
                <w:sz w:val="18"/>
              </w:rPr>
              <w:t>4.206,26</w:t>
            </w:r>
          </w:p>
        </w:tc>
        <w:tc>
          <w:tcPr>
            <w:tcW w:w="700" w:type="dxa"/>
            <w:tcMar>
              <w:top w:w="0" w:type="dxa"/>
              <w:bottom w:w="0" w:type="dxa"/>
            </w:tcMar>
            <w:vAlign w:val="center"/>
          </w:tcPr>
          <w:p w:rsidR="00361E2F" w:rsidRDefault="00883EDC">
            <w:pPr>
              <w:keepNext/>
              <w:keepLines/>
              <w:spacing w:after="0" w:line="240" w:lineRule="auto"/>
              <w:jc w:val="right"/>
            </w:pPr>
            <w:r>
              <w:rPr>
                <w:sz w:val="18"/>
              </w:rPr>
              <w:t>145,5</w:t>
            </w:r>
          </w:p>
        </w:tc>
      </w:tr>
    </w:tbl>
    <w:p w:rsidR="00361E2F" w:rsidRDefault="00361E2F">
      <w:pPr>
        <w:spacing w:after="0"/>
      </w:pPr>
    </w:p>
    <w:p w:rsidR="00361E2F" w:rsidRDefault="00883EDC" w:rsidP="00712C3D">
      <w:pPr>
        <w:jc w:val="both"/>
      </w:pPr>
      <w:r>
        <w:t>Šifra 342 – Kamate za primljene kredite i zajmove ostvarene su u iznosu od 4.206,26 eura što je za 45,5 % više nego u 2024. godine. Radi se o otplati kamata koji su se realizirali krajem 2024. godine.</w:t>
      </w:r>
    </w:p>
    <w:p w:rsidR="00361E2F" w:rsidRDefault="00361E2F"/>
    <w:p w:rsidR="00361E2F" w:rsidRDefault="00883EDC">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343</w:t>
            </w:r>
          </w:p>
        </w:tc>
        <w:tc>
          <w:tcPr>
            <w:tcW w:w="3180" w:type="dxa"/>
            <w:tcMar>
              <w:top w:w="0" w:type="dxa"/>
              <w:bottom w:w="0" w:type="dxa"/>
            </w:tcMar>
            <w:vAlign w:val="center"/>
          </w:tcPr>
          <w:p w:rsidR="00361E2F" w:rsidRDefault="00883EDC">
            <w:pPr>
              <w:keepNext/>
              <w:keepLines/>
              <w:spacing w:after="0" w:line="240" w:lineRule="auto"/>
            </w:pPr>
            <w:r>
              <w:rPr>
                <w:sz w:val="18"/>
              </w:rPr>
              <w:t>Ostali financijski rashodi (šifre 3431 do 3434)</w:t>
            </w:r>
          </w:p>
        </w:tc>
        <w:tc>
          <w:tcPr>
            <w:tcW w:w="700" w:type="dxa"/>
            <w:tcMar>
              <w:top w:w="0" w:type="dxa"/>
              <w:bottom w:w="0" w:type="dxa"/>
            </w:tcMar>
            <w:vAlign w:val="center"/>
          </w:tcPr>
          <w:p w:rsidR="00361E2F" w:rsidRDefault="00883EDC">
            <w:pPr>
              <w:keepNext/>
              <w:keepLines/>
              <w:spacing w:after="0" w:line="240" w:lineRule="auto"/>
            </w:pPr>
            <w:r>
              <w:rPr>
                <w:sz w:val="18"/>
              </w:rPr>
              <w:t>343</w:t>
            </w:r>
          </w:p>
        </w:tc>
        <w:tc>
          <w:tcPr>
            <w:tcW w:w="1860" w:type="dxa"/>
            <w:tcMar>
              <w:top w:w="0" w:type="dxa"/>
              <w:bottom w:w="0" w:type="dxa"/>
            </w:tcMar>
            <w:vAlign w:val="center"/>
          </w:tcPr>
          <w:p w:rsidR="00361E2F" w:rsidRDefault="00883EDC">
            <w:pPr>
              <w:keepNext/>
              <w:keepLines/>
              <w:spacing w:after="0" w:line="240" w:lineRule="auto"/>
              <w:jc w:val="right"/>
            </w:pPr>
            <w:r>
              <w:rPr>
                <w:sz w:val="18"/>
              </w:rPr>
              <w:t>11.126,97</w:t>
            </w:r>
          </w:p>
        </w:tc>
        <w:tc>
          <w:tcPr>
            <w:tcW w:w="1860" w:type="dxa"/>
            <w:tcMar>
              <w:top w:w="0" w:type="dxa"/>
              <w:bottom w:w="0" w:type="dxa"/>
            </w:tcMar>
            <w:vAlign w:val="center"/>
          </w:tcPr>
          <w:p w:rsidR="00361E2F" w:rsidRDefault="00883EDC">
            <w:pPr>
              <w:keepNext/>
              <w:keepLines/>
              <w:spacing w:after="0" w:line="240" w:lineRule="auto"/>
              <w:jc w:val="right"/>
            </w:pPr>
            <w:r>
              <w:rPr>
                <w:sz w:val="18"/>
              </w:rPr>
              <w:t>13.342,00</w:t>
            </w:r>
          </w:p>
        </w:tc>
        <w:tc>
          <w:tcPr>
            <w:tcW w:w="700" w:type="dxa"/>
            <w:tcMar>
              <w:top w:w="0" w:type="dxa"/>
              <w:bottom w:w="0" w:type="dxa"/>
            </w:tcMar>
            <w:vAlign w:val="center"/>
          </w:tcPr>
          <w:p w:rsidR="00361E2F" w:rsidRDefault="00883EDC">
            <w:pPr>
              <w:keepNext/>
              <w:keepLines/>
              <w:spacing w:after="0" w:line="240" w:lineRule="auto"/>
              <w:jc w:val="right"/>
            </w:pPr>
            <w:r>
              <w:rPr>
                <w:sz w:val="18"/>
              </w:rPr>
              <w:t>119,9</w:t>
            </w:r>
          </w:p>
        </w:tc>
      </w:tr>
    </w:tbl>
    <w:p w:rsidR="00361E2F" w:rsidRDefault="00361E2F">
      <w:pPr>
        <w:spacing w:after="0"/>
      </w:pPr>
    </w:p>
    <w:p w:rsidR="00361E2F" w:rsidRDefault="00883EDC">
      <w:pPr>
        <w:jc w:val="both"/>
      </w:pPr>
      <w:r>
        <w:t>Šifra 343 – Ostali financijski rashodi ostvareni su u iznosu od 13.342,00 eura što je za 19,9 % više nego u 2024. godine. Radi se o troškovima pristojbi za parnične postupk</w:t>
      </w:r>
      <w:r w:rsidR="000F3498">
        <w:t>e</w:t>
      </w:r>
      <w:r>
        <w:t xml:space="preserve"> za rješavanje imovinsko-pravnih odnosa.</w:t>
      </w:r>
    </w:p>
    <w:p w:rsidR="00361E2F" w:rsidRDefault="00361E2F"/>
    <w:p w:rsidR="00361E2F" w:rsidRDefault="00883ED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372</w:t>
            </w:r>
          </w:p>
        </w:tc>
        <w:tc>
          <w:tcPr>
            <w:tcW w:w="3180" w:type="dxa"/>
            <w:tcMar>
              <w:top w:w="0" w:type="dxa"/>
              <w:bottom w:w="0" w:type="dxa"/>
            </w:tcMar>
            <w:vAlign w:val="center"/>
          </w:tcPr>
          <w:p w:rsidR="00361E2F" w:rsidRDefault="00883EDC">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361E2F" w:rsidRDefault="00883EDC">
            <w:pPr>
              <w:keepNext/>
              <w:keepLines/>
              <w:spacing w:after="0" w:line="240" w:lineRule="auto"/>
            </w:pPr>
            <w:r>
              <w:rPr>
                <w:sz w:val="18"/>
              </w:rPr>
              <w:t>372</w:t>
            </w:r>
          </w:p>
        </w:tc>
        <w:tc>
          <w:tcPr>
            <w:tcW w:w="1860" w:type="dxa"/>
            <w:tcMar>
              <w:top w:w="0" w:type="dxa"/>
              <w:bottom w:w="0" w:type="dxa"/>
            </w:tcMar>
            <w:vAlign w:val="center"/>
          </w:tcPr>
          <w:p w:rsidR="00361E2F" w:rsidRDefault="00883EDC">
            <w:pPr>
              <w:keepNext/>
              <w:keepLines/>
              <w:spacing w:after="0" w:line="240" w:lineRule="auto"/>
              <w:jc w:val="right"/>
            </w:pPr>
            <w:r>
              <w:rPr>
                <w:sz w:val="18"/>
              </w:rPr>
              <w:t>49.036,40</w:t>
            </w:r>
          </w:p>
        </w:tc>
        <w:tc>
          <w:tcPr>
            <w:tcW w:w="1860" w:type="dxa"/>
            <w:tcMar>
              <w:top w:w="0" w:type="dxa"/>
              <w:bottom w:w="0" w:type="dxa"/>
            </w:tcMar>
            <w:vAlign w:val="center"/>
          </w:tcPr>
          <w:p w:rsidR="00361E2F" w:rsidRDefault="00883EDC">
            <w:pPr>
              <w:keepNext/>
              <w:keepLines/>
              <w:spacing w:after="0" w:line="240" w:lineRule="auto"/>
              <w:jc w:val="right"/>
            </w:pPr>
            <w:r>
              <w:rPr>
                <w:sz w:val="18"/>
              </w:rPr>
              <w:t>60.248,97</w:t>
            </w:r>
          </w:p>
        </w:tc>
        <w:tc>
          <w:tcPr>
            <w:tcW w:w="700" w:type="dxa"/>
            <w:tcMar>
              <w:top w:w="0" w:type="dxa"/>
              <w:bottom w:w="0" w:type="dxa"/>
            </w:tcMar>
            <w:vAlign w:val="center"/>
          </w:tcPr>
          <w:p w:rsidR="00361E2F" w:rsidRDefault="00883EDC">
            <w:pPr>
              <w:keepNext/>
              <w:keepLines/>
              <w:spacing w:after="0" w:line="240" w:lineRule="auto"/>
              <w:jc w:val="right"/>
            </w:pPr>
            <w:r>
              <w:rPr>
                <w:sz w:val="18"/>
              </w:rPr>
              <w:t>122,9</w:t>
            </w:r>
          </w:p>
        </w:tc>
      </w:tr>
    </w:tbl>
    <w:p w:rsidR="00361E2F" w:rsidRDefault="00361E2F">
      <w:pPr>
        <w:spacing w:after="0"/>
      </w:pPr>
    </w:p>
    <w:p w:rsidR="00361E2F" w:rsidRDefault="00883EDC">
      <w:pPr>
        <w:jc w:val="both"/>
      </w:pPr>
      <w:r>
        <w:lastRenderedPageBreak/>
        <w:t>Šifra 372 – Ostale naknade građanima i kućanstvima iz proračuna ostvarene su u iznosu od 60.248,97 eura što je za 22,9 % više nego 2024. godine. Sredstva su veća u odnosu na 2024. godinu obzirom da su se u 2025. godini isplaćivali bonovi umirovljenicima za Uskršnje i Novogodišnje blagdane.</w:t>
      </w:r>
    </w:p>
    <w:p w:rsidR="00361E2F" w:rsidRDefault="00361E2F"/>
    <w:p w:rsidR="00361E2F" w:rsidRDefault="00883EDC">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381</w:t>
            </w:r>
          </w:p>
        </w:tc>
        <w:tc>
          <w:tcPr>
            <w:tcW w:w="3180" w:type="dxa"/>
            <w:tcMar>
              <w:top w:w="0" w:type="dxa"/>
              <w:bottom w:w="0" w:type="dxa"/>
            </w:tcMar>
            <w:vAlign w:val="center"/>
          </w:tcPr>
          <w:p w:rsidR="00361E2F" w:rsidRDefault="00883EDC">
            <w:pPr>
              <w:keepNext/>
              <w:keepLines/>
              <w:spacing w:after="0" w:line="240" w:lineRule="auto"/>
            </w:pPr>
            <w:r>
              <w:rPr>
                <w:sz w:val="18"/>
              </w:rPr>
              <w:t>Tekuće donacije (šifre 3811 do 3813)</w:t>
            </w:r>
          </w:p>
        </w:tc>
        <w:tc>
          <w:tcPr>
            <w:tcW w:w="700" w:type="dxa"/>
            <w:tcMar>
              <w:top w:w="0" w:type="dxa"/>
              <w:bottom w:w="0" w:type="dxa"/>
            </w:tcMar>
            <w:vAlign w:val="center"/>
          </w:tcPr>
          <w:p w:rsidR="00361E2F" w:rsidRDefault="00883EDC">
            <w:pPr>
              <w:keepNext/>
              <w:keepLines/>
              <w:spacing w:after="0" w:line="240" w:lineRule="auto"/>
            </w:pPr>
            <w:r>
              <w:rPr>
                <w:sz w:val="18"/>
              </w:rPr>
              <w:t>381</w:t>
            </w:r>
          </w:p>
        </w:tc>
        <w:tc>
          <w:tcPr>
            <w:tcW w:w="1860" w:type="dxa"/>
            <w:tcMar>
              <w:top w:w="0" w:type="dxa"/>
              <w:bottom w:w="0" w:type="dxa"/>
            </w:tcMar>
            <w:vAlign w:val="center"/>
          </w:tcPr>
          <w:p w:rsidR="00361E2F" w:rsidRDefault="00883EDC">
            <w:pPr>
              <w:keepNext/>
              <w:keepLines/>
              <w:spacing w:after="0" w:line="240" w:lineRule="auto"/>
              <w:jc w:val="right"/>
            </w:pPr>
            <w:r>
              <w:rPr>
                <w:sz w:val="18"/>
              </w:rPr>
              <w:t>182.631,59</w:t>
            </w:r>
          </w:p>
        </w:tc>
        <w:tc>
          <w:tcPr>
            <w:tcW w:w="1860" w:type="dxa"/>
            <w:tcMar>
              <w:top w:w="0" w:type="dxa"/>
              <w:bottom w:w="0" w:type="dxa"/>
            </w:tcMar>
            <w:vAlign w:val="center"/>
          </w:tcPr>
          <w:p w:rsidR="00361E2F" w:rsidRDefault="00883EDC">
            <w:pPr>
              <w:keepNext/>
              <w:keepLines/>
              <w:spacing w:after="0" w:line="240" w:lineRule="auto"/>
              <w:jc w:val="right"/>
            </w:pPr>
            <w:r>
              <w:rPr>
                <w:sz w:val="18"/>
              </w:rPr>
              <w:t>207.962,92</w:t>
            </w:r>
          </w:p>
        </w:tc>
        <w:tc>
          <w:tcPr>
            <w:tcW w:w="700" w:type="dxa"/>
            <w:tcMar>
              <w:top w:w="0" w:type="dxa"/>
              <w:bottom w:w="0" w:type="dxa"/>
            </w:tcMar>
            <w:vAlign w:val="center"/>
          </w:tcPr>
          <w:p w:rsidR="00361E2F" w:rsidRDefault="00883EDC">
            <w:pPr>
              <w:keepNext/>
              <w:keepLines/>
              <w:spacing w:after="0" w:line="240" w:lineRule="auto"/>
              <w:jc w:val="right"/>
            </w:pPr>
            <w:r>
              <w:rPr>
                <w:sz w:val="18"/>
              </w:rPr>
              <w:t>113,9</w:t>
            </w:r>
          </w:p>
        </w:tc>
      </w:tr>
    </w:tbl>
    <w:p w:rsidR="00361E2F" w:rsidRDefault="00361E2F">
      <w:pPr>
        <w:spacing w:after="0"/>
      </w:pPr>
    </w:p>
    <w:p w:rsidR="00361E2F" w:rsidRDefault="00883EDC">
      <w:pPr>
        <w:jc w:val="both"/>
      </w:pPr>
      <w:r>
        <w:t xml:space="preserve">Šifra 381 – Tekuće donacije ostvarene su u iznosu od 207.962,92 eura što je za 13,9 % više nego 2024. godine. Sredstva za rad udruga na području Općine </w:t>
      </w:r>
      <w:proofErr w:type="spellStart"/>
      <w:r>
        <w:t>Fužine</w:t>
      </w:r>
      <w:proofErr w:type="spellEnd"/>
      <w:r>
        <w:t xml:space="preserve"> isplaćuju se po zahtjevima udruga.</w:t>
      </w:r>
    </w:p>
    <w:p w:rsidR="00361E2F" w:rsidRDefault="00361E2F"/>
    <w:p w:rsidR="00361E2F" w:rsidRDefault="00883ED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386</w:t>
            </w:r>
          </w:p>
        </w:tc>
        <w:tc>
          <w:tcPr>
            <w:tcW w:w="3180" w:type="dxa"/>
            <w:tcMar>
              <w:top w:w="0" w:type="dxa"/>
              <w:bottom w:w="0" w:type="dxa"/>
            </w:tcMar>
            <w:vAlign w:val="center"/>
          </w:tcPr>
          <w:p w:rsidR="00361E2F" w:rsidRDefault="00883EDC">
            <w:pPr>
              <w:keepNext/>
              <w:keepLines/>
              <w:spacing w:after="0" w:line="240" w:lineRule="auto"/>
            </w:pPr>
            <w:r>
              <w:rPr>
                <w:sz w:val="18"/>
              </w:rPr>
              <w:t>Kapitalne pomoći (šifre 3861 do 3865)</w:t>
            </w:r>
          </w:p>
        </w:tc>
        <w:tc>
          <w:tcPr>
            <w:tcW w:w="700" w:type="dxa"/>
            <w:tcMar>
              <w:top w:w="0" w:type="dxa"/>
              <w:bottom w:w="0" w:type="dxa"/>
            </w:tcMar>
            <w:vAlign w:val="center"/>
          </w:tcPr>
          <w:p w:rsidR="00361E2F" w:rsidRDefault="00883EDC">
            <w:pPr>
              <w:keepNext/>
              <w:keepLines/>
              <w:spacing w:after="0" w:line="240" w:lineRule="auto"/>
            </w:pPr>
            <w:r>
              <w:rPr>
                <w:sz w:val="18"/>
              </w:rPr>
              <w:t>386</w:t>
            </w:r>
          </w:p>
        </w:tc>
        <w:tc>
          <w:tcPr>
            <w:tcW w:w="1860" w:type="dxa"/>
            <w:tcMar>
              <w:top w:w="0" w:type="dxa"/>
              <w:bottom w:w="0" w:type="dxa"/>
            </w:tcMar>
            <w:vAlign w:val="center"/>
          </w:tcPr>
          <w:p w:rsidR="00361E2F" w:rsidRDefault="00883EDC">
            <w:pPr>
              <w:keepNext/>
              <w:keepLines/>
              <w:spacing w:after="0" w:line="240" w:lineRule="auto"/>
              <w:jc w:val="right"/>
            </w:pPr>
            <w:r>
              <w:rPr>
                <w:sz w:val="18"/>
              </w:rPr>
              <w:t>118.949,05</w:t>
            </w:r>
          </w:p>
        </w:tc>
        <w:tc>
          <w:tcPr>
            <w:tcW w:w="1860" w:type="dxa"/>
            <w:tcMar>
              <w:top w:w="0" w:type="dxa"/>
              <w:bottom w:w="0" w:type="dxa"/>
            </w:tcMar>
            <w:vAlign w:val="center"/>
          </w:tcPr>
          <w:p w:rsidR="00361E2F" w:rsidRDefault="00883EDC">
            <w:pPr>
              <w:keepNext/>
              <w:keepLines/>
              <w:spacing w:after="0" w:line="240" w:lineRule="auto"/>
              <w:jc w:val="right"/>
            </w:pPr>
            <w:r>
              <w:rPr>
                <w:sz w:val="18"/>
              </w:rPr>
              <w:t>16.502,59</w:t>
            </w:r>
          </w:p>
        </w:tc>
        <w:tc>
          <w:tcPr>
            <w:tcW w:w="700" w:type="dxa"/>
            <w:tcMar>
              <w:top w:w="0" w:type="dxa"/>
              <w:bottom w:w="0" w:type="dxa"/>
            </w:tcMar>
            <w:vAlign w:val="center"/>
          </w:tcPr>
          <w:p w:rsidR="00361E2F" w:rsidRDefault="00883EDC">
            <w:pPr>
              <w:keepNext/>
              <w:keepLines/>
              <w:spacing w:after="0" w:line="240" w:lineRule="auto"/>
              <w:jc w:val="right"/>
            </w:pPr>
            <w:r>
              <w:rPr>
                <w:sz w:val="18"/>
              </w:rPr>
              <w:t>13,9</w:t>
            </w:r>
          </w:p>
        </w:tc>
      </w:tr>
    </w:tbl>
    <w:p w:rsidR="00361E2F" w:rsidRDefault="00361E2F">
      <w:pPr>
        <w:spacing w:after="0"/>
      </w:pPr>
    </w:p>
    <w:p w:rsidR="00361E2F" w:rsidRDefault="00883EDC">
      <w:pPr>
        <w:jc w:val="both"/>
      </w:pPr>
      <w:r>
        <w:t xml:space="preserve">Šifra 386 - Kapitalne pomoći ostvarene su u iznosu od 16.502,59 eura što je za 86,1 % manje nego prethodne godine. Radi se o sredstvima za sufinanciranje priključaka na kanalizacijski kolektor domaćinstvima sa područja Općine </w:t>
      </w:r>
      <w:proofErr w:type="spellStart"/>
      <w:r>
        <w:t>Fužine</w:t>
      </w:r>
      <w:proofErr w:type="spellEnd"/>
      <w:r>
        <w:t xml:space="preserve"> te sredstvima u iznosu od 13.798,22 eura za sufinanciranje sanacije odlagališta otpada Sović laz.</w:t>
      </w:r>
    </w:p>
    <w:p w:rsidR="00361E2F" w:rsidRDefault="00361E2F"/>
    <w:p w:rsidR="00361E2F" w:rsidRDefault="00883ED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711</w:t>
            </w:r>
          </w:p>
        </w:tc>
        <w:tc>
          <w:tcPr>
            <w:tcW w:w="3180" w:type="dxa"/>
            <w:tcMar>
              <w:top w:w="0" w:type="dxa"/>
              <w:bottom w:w="0" w:type="dxa"/>
            </w:tcMar>
            <w:vAlign w:val="center"/>
          </w:tcPr>
          <w:p w:rsidR="00361E2F" w:rsidRDefault="00883EDC">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rsidR="00361E2F" w:rsidRDefault="00883EDC">
            <w:pPr>
              <w:keepNext/>
              <w:keepLines/>
              <w:spacing w:after="0" w:line="240" w:lineRule="auto"/>
            </w:pPr>
            <w:r>
              <w:rPr>
                <w:sz w:val="18"/>
              </w:rPr>
              <w:t>711</w:t>
            </w:r>
          </w:p>
        </w:tc>
        <w:tc>
          <w:tcPr>
            <w:tcW w:w="1860" w:type="dxa"/>
            <w:tcMar>
              <w:top w:w="0" w:type="dxa"/>
              <w:bottom w:w="0" w:type="dxa"/>
            </w:tcMar>
            <w:vAlign w:val="center"/>
          </w:tcPr>
          <w:p w:rsidR="00361E2F" w:rsidRDefault="00883EDC">
            <w:pPr>
              <w:keepNext/>
              <w:keepLines/>
              <w:spacing w:after="0" w:line="240" w:lineRule="auto"/>
              <w:jc w:val="right"/>
            </w:pPr>
            <w:r>
              <w:rPr>
                <w:sz w:val="18"/>
              </w:rPr>
              <w:t>76.105,02</w:t>
            </w:r>
          </w:p>
        </w:tc>
        <w:tc>
          <w:tcPr>
            <w:tcW w:w="1860" w:type="dxa"/>
            <w:tcMar>
              <w:top w:w="0" w:type="dxa"/>
              <w:bottom w:w="0" w:type="dxa"/>
            </w:tcMar>
            <w:vAlign w:val="center"/>
          </w:tcPr>
          <w:p w:rsidR="00361E2F" w:rsidRDefault="00883EDC">
            <w:pPr>
              <w:keepNext/>
              <w:keepLines/>
              <w:spacing w:after="0" w:line="240" w:lineRule="auto"/>
              <w:jc w:val="right"/>
            </w:pPr>
            <w:r>
              <w:rPr>
                <w:sz w:val="18"/>
              </w:rPr>
              <w:t>158.551,30</w:t>
            </w:r>
          </w:p>
        </w:tc>
        <w:tc>
          <w:tcPr>
            <w:tcW w:w="700" w:type="dxa"/>
            <w:tcMar>
              <w:top w:w="0" w:type="dxa"/>
              <w:bottom w:w="0" w:type="dxa"/>
            </w:tcMar>
            <w:vAlign w:val="center"/>
          </w:tcPr>
          <w:p w:rsidR="00361E2F" w:rsidRDefault="00883EDC">
            <w:pPr>
              <w:keepNext/>
              <w:keepLines/>
              <w:spacing w:after="0" w:line="240" w:lineRule="auto"/>
              <w:jc w:val="right"/>
            </w:pPr>
            <w:r>
              <w:rPr>
                <w:sz w:val="18"/>
              </w:rPr>
              <w:t>208,3</w:t>
            </w:r>
          </w:p>
        </w:tc>
      </w:tr>
    </w:tbl>
    <w:p w:rsidR="00361E2F" w:rsidRDefault="00361E2F">
      <w:pPr>
        <w:spacing w:after="0"/>
      </w:pPr>
    </w:p>
    <w:p w:rsidR="00361E2F" w:rsidRDefault="00883EDC">
      <w:pPr>
        <w:jc w:val="both"/>
      </w:pPr>
      <w:r>
        <w:t xml:space="preserve">Šifra 711 – Prihodi od prodaje materijalne imovine – prirodnih bogatstava - obuhvaćaju prihod od prodaje građevinskog zemljišta u vlasništvu Općine </w:t>
      </w:r>
      <w:proofErr w:type="spellStart"/>
      <w:r>
        <w:t>Fužine</w:t>
      </w:r>
      <w:proofErr w:type="spellEnd"/>
      <w:r>
        <w:t xml:space="preserve"> po raspisanom Javnom natječaju u 2024. godini i 2025. godini.</w:t>
      </w:r>
    </w:p>
    <w:p w:rsidR="00361E2F" w:rsidRDefault="00361E2F"/>
    <w:p w:rsidR="00361E2F" w:rsidRDefault="00883EDC">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721</w:t>
            </w:r>
          </w:p>
        </w:tc>
        <w:tc>
          <w:tcPr>
            <w:tcW w:w="3180" w:type="dxa"/>
            <w:tcMar>
              <w:top w:w="0" w:type="dxa"/>
              <w:bottom w:w="0" w:type="dxa"/>
            </w:tcMar>
            <w:vAlign w:val="center"/>
          </w:tcPr>
          <w:p w:rsidR="00361E2F" w:rsidRDefault="00883EDC">
            <w:pPr>
              <w:keepNext/>
              <w:keepLines/>
              <w:spacing w:after="0" w:line="240" w:lineRule="auto"/>
            </w:pPr>
            <w:r>
              <w:rPr>
                <w:sz w:val="18"/>
              </w:rPr>
              <w:t>Prihodi od prodaje građevinskih objekata (šifre 7211 do 7214)</w:t>
            </w:r>
          </w:p>
        </w:tc>
        <w:tc>
          <w:tcPr>
            <w:tcW w:w="700" w:type="dxa"/>
            <w:tcMar>
              <w:top w:w="0" w:type="dxa"/>
              <w:bottom w:w="0" w:type="dxa"/>
            </w:tcMar>
            <w:vAlign w:val="center"/>
          </w:tcPr>
          <w:p w:rsidR="00361E2F" w:rsidRDefault="00883EDC">
            <w:pPr>
              <w:keepNext/>
              <w:keepLines/>
              <w:spacing w:after="0" w:line="240" w:lineRule="auto"/>
            </w:pPr>
            <w:r>
              <w:rPr>
                <w:sz w:val="18"/>
              </w:rPr>
              <w:t>721</w:t>
            </w:r>
          </w:p>
        </w:tc>
        <w:tc>
          <w:tcPr>
            <w:tcW w:w="1860" w:type="dxa"/>
            <w:tcMar>
              <w:top w:w="0" w:type="dxa"/>
              <w:bottom w:w="0" w:type="dxa"/>
            </w:tcMar>
            <w:vAlign w:val="center"/>
          </w:tcPr>
          <w:p w:rsidR="00361E2F" w:rsidRDefault="00883EDC">
            <w:pPr>
              <w:keepNext/>
              <w:keepLines/>
              <w:spacing w:after="0" w:line="240" w:lineRule="auto"/>
              <w:jc w:val="right"/>
            </w:pPr>
            <w:r>
              <w:rPr>
                <w:sz w:val="18"/>
              </w:rPr>
              <w:t>1.579,21</w:t>
            </w:r>
          </w:p>
        </w:tc>
        <w:tc>
          <w:tcPr>
            <w:tcW w:w="1860" w:type="dxa"/>
            <w:tcMar>
              <w:top w:w="0" w:type="dxa"/>
              <w:bottom w:w="0" w:type="dxa"/>
            </w:tcMar>
            <w:vAlign w:val="center"/>
          </w:tcPr>
          <w:p w:rsidR="00361E2F" w:rsidRDefault="00883EDC">
            <w:pPr>
              <w:keepNext/>
              <w:keepLines/>
              <w:spacing w:after="0" w:line="240" w:lineRule="auto"/>
              <w:jc w:val="right"/>
            </w:pPr>
            <w:r>
              <w:rPr>
                <w:sz w:val="18"/>
              </w:rPr>
              <w:t>733,93</w:t>
            </w:r>
          </w:p>
        </w:tc>
        <w:tc>
          <w:tcPr>
            <w:tcW w:w="700" w:type="dxa"/>
            <w:tcMar>
              <w:top w:w="0" w:type="dxa"/>
              <w:bottom w:w="0" w:type="dxa"/>
            </w:tcMar>
            <w:vAlign w:val="center"/>
          </w:tcPr>
          <w:p w:rsidR="00361E2F" w:rsidRDefault="00883EDC">
            <w:pPr>
              <w:keepNext/>
              <w:keepLines/>
              <w:spacing w:after="0" w:line="240" w:lineRule="auto"/>
              <w:jc w:val="right"/>
            </w:pPr>
            <w:r>
              <w:rPr>
                <w:sz w:val="18"/>
              </w:rPr>
              <w:t>46,5</w:t>
            </w:r>
          </w:p>
        </w:tc>
      </w:tr>
    </w:tbl>
    <w:p w:rsidR="00361E2F" w:rsidRDefault="00361E2F">
      <w:pPr>
        <w:spacing w:after="0"/>
      </w:pPr>
    </w:p>
    <w:p w:rsidR="00361E2F" w:rsidRDefault="00883EDC">
      <w:pPr>
        <w:jc w:val="both"/>
      </w:pPr>
      <w:r>
        <w:t>Šifra 721 – Prihodi od prodaje građevinskih objekata manji su viši su za 53,5 % od istih u 2024. godini. Prihod se odnosi na otkup stanova na kojima postoji stanarsko pravo, nakon proslijeđenog iznosa od 55 % u korist Državnog proračuna. </w:t>
      </w:r>
    </w:p>
    <w:p w:rsidR="00361E2F" w:rsidRDefault="00361E2F"/>
    <w:p w:rsidR="00361E2F" w:rsidRDefault="00883EDC">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421</w:t>
            </w:r>
          </w:p>
        </w:tc>
        <w:tc>
          <w:tcPr>
            <w:tcW w:w="3180" w:type="dxa"/>
            <w:tcMar>
              <w:top w:w="0" w:type="dxa"/>
              <w:bottom w:w="0" w:type="dxa"/>
            </w:tcMar>
            <w:vAlign w:val="center"/>
          </w:tcPr>
          <w:p w:rsidR="00361E2F" w:rsidRDefault="00883EDC">
            <w:pPr>
              <w:keepNext/>
              <w:keepLines/>
              <w:spacing w:after="0" w:line="240" w:lineRule="auto"/>
            </w:pPr>
            <w:r>
              <w:rPr>
                <w:sz w:val="18"/>
              </w:rPr>
              <w:t>Građevinski objekti (šifre 4211 do 4214)</w:t>
            </w:r>
          </w:p>
        </w:tc>
        <w:tc>
          <w:tcPr>
            <w:tcW w:w="700" w:type="dxa"/>
            <w:tcMar>
              <w:top w:w="0" w:type="dxa"/>
              <w:bottom w:w="0" w:type="dxa"/>
            </w:tcMar>
            <w:vAlign w:val="center"/>
          </w:tcPr>
          <w:p w:rsidR="00361E2F" w:rsidRDefault="00883EDC">
            <w:pPr>
              <w:keepNext/>
              <w:keepLines/>
              <w:spacing w:after="0" w:line="240" w:lineRule="auto"/>
            </w:pPr>
            <w:r>
              <w:rPr>
                <w:sz w:val="18"/>
              </w:rPr>
              <w:t>421</w:t>
            </w:r>
          </w:p>
        </w:tc>
        <w:tc>
          <w:tcPr>
            <w:tcW w:w="1860" w:type="dxa"/>
            <w:tcMar>
              <w:top w:w="0" w:type="dxa"/>
              <w:bottom w:w="0" w:type="dxa"/>
            </w:tcMar>
            <w:vAlign w:val="center"/>
          </w:tcPr>
          <w:p w:rsidR="00361E2F" w:rsidRDefault="00883EDC">
            <w:pPr>
              <w:keepNext/>
              <w:keepLines/>
              <w:spacing w:after="0" w:line="240" w:lineRule="auto"/>
              <w:jc w:val="right"/>
            </w:pPr>
            <w:r>
              <w:rPr>
                <w:sz w:val="18"/>
              </w:rPr>
              <w:t>777.041,92</w:t>
            </w:r>
          </w:p>
        </w:tc>
        <w:tc>
          <w:tcPr>
            <w:tcW w:w="1860" w:type="dxa"/>
            <w:tcMar>
              <w:top w:w="0" w:type="dxa"/>
              <w:bottom w:w="0" w:type="dxa"/>
            </w:tcMar>
            <w:vAlign w:val="center"/>
          </w:tcPr>
          <w:p w:rsidR="00361E2F" w:rsidRDefault="00883EDC">
            <w:pPr>
              <w:keepNext/>
              <w:keepLines/>
              <w:spacing w:after="0" w:line="240" w:lineRule="auto"/>
              <w:jc w:val="right"/>
            </w:pPr>
            <w:r>
              <w:rPr>
                <w:sz w:val="18"/>
              </w:rPr>
              <w:t>458.272,48</w:t>
            </w:r>
          </w:p>
        </w:tc>
        <w:tc>
          <w:tcPr>
            <w:tcW w:w="700" w:type="dxa"/>
            <w:tcMar>
              <w:top w:w="0" w:type="dxa"/>
              <w:bottom w:w="0" w:type="dxa"/>
            </w:tcMar>
            <w:vAlign w:val="center"/>
          </w:tcPr>
          <w:p w:rsidR="00361E2F" w:rsidRDefault="00883EDC">
            <w:pPr>
              <w:keepNext/>
              <w:keepLines/>
              <w:spacing w:after="0" w:line="240" w:lineRule="auto"/>
              <w:jc w:val="right"/>
            </w:pPr>
            <w:r>
              <w:rPr>
                <w:sz w:val="18"/>
              </w:rPr>
              <w:t>59,0</w:t>
            </w:r>
          </w:p>
        </w:tc>
      </w:tr>
    </w:tbl>
    <w:p w:rsidR="00361E2F" w:rsidRDefault="00361E2F">
      <w:pPr>
        <w:spacing w:after="0"/>
      </w:pPr>
    </w:p>
    <w:p w:rsidR="00361E2F" w:rsidRDefault="00883EDC" w:rsidP="000F3498">
      <w:pPr>
        <w:jc w:val="both"/>
      </w:pPr>
      <w:r>
        <w:t>Šifra 421 – Građevinski objekti ostvareni su u iznosu od 458.272,48 eura što je za 41,0 % manje nego prošle godine u istom razdoblju. U odnosu na prethodnu godinu u 2025. godini je re</w:t>
      </w:r>
      <w:r w:rsidR="000F3498">
        <w:t>a</w:t>
      </w:r>
      <w:r>
        <w:t xml:space="preserve">liziran završetak Projekta povijesno kulturna baština naselja </w:t>
      </w:r>
      <w:proofErr w:type="spellStart"/>
      <w:r>
        <w:t>Lič</w:t>
      </w:r>
      <w:proofErr w:type="spellEnd"/>
      <w:r>
        <w:t xml:space="preserve"> (Križni put, Svetište MBS i vidikovac Gradina), uređenje Tematsko-edukativne staze </w:t>
      </w:r>
      <w:proofErr w:type="spellStart"/>
      <w:r>
        <w:t>Lepenica</w:t>
      </w:r>
      <w:proofErr w:type="spellEnd"/>
      <w:r>
        <w:t xml:space="preserve"> II faza, Projekt Šetalište Kreše Golika, postavljanje vodovodnog priključka na lokaciji P</w:t>
      </w:r>
      <w:r w:rsidR="000F3498">
        <w:t>a</w:t>
      </w:r>
      <w:r>
        <w:t>rkiralište Čoka.</w:t>
      </w:r>
    </w:p>
    <w:p w:rsidR="00361E2F" w:rsidRDefault="00361E2F"/>
    <w:p w:rsidR="00361E2F" w:rsidRDefault="00883EDC">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422</w:t>
            </w:r>
          </w:p>
        </w:tc>
        <w:tc>
          <w:tcPr>
            <w:tcW w:w="3180" w:type="dxa"/>
            <w:tcMar>
              <w:top w:w="0" w:type="dxa"/>
              <w:bottom w:w="0" w:type="dxa"/>
            </w:tcMar>
            <w:vAlign w:val="center"/>
          </w:tcPr>
          <w:p w:rsidR="00361E2F" w:rsidRDefault="00883EDC">
            <w:pPr>
              <w:keepNext/>
              <w:keepLines/>
              <w:spacing w:after="0" w:line="240" w:lineRule="auto"/>
            </w:pPr>
            <w:r>
              <w:rPr>
                <w:sz w:val="18"/>
              </w:rPr>
              <w:t>Postrojenja i oprema (šifre 4221 do 4228)</w:t>
            </w:r>
          </w:p>
        </w:tc>
        <w:tc>
          <w:tcPr>
            <w:tcW w:w="700" w:type="dxa"/>
            <w:tcMar>
              <w:top w:w="0" w:type="dxa"/>
              <w:bottom w:w="0" w:type="dxa"/>
            </w:tcMar>
            <w:vAlign w:val="center"/>
          </w:tcPr>
          <w:p w:rsidR="00361E2F" w:rsidRDefault="00883EDC">
            <w:pPr>
              <w:keepNext/>
              <w:keepLines/>
              <w:spacing w:after="0" w:line="240" w:lineRule="auto"/>
            </w:pPr>
            <w:r>
              <w:rPr>
                <w:sz w:val="18"/>
              </w:rPr>
              <w:t>422</w:t>
            </w:r>
          </w:p>
        </w:tc>
        <w:tc>
          <w:tcPr>
            <w:tcW w:w="1860" w:type="dxa"/>
            <w:tcMar>
              <w:top w:w="0" w:type="dxa"/>
              <w:bottom w:w="0" w:type="dxa"/>
            </w:tcMar>
            <w:vAlign w:val="center"/>
          </w:tcPr>
          <w:p w:rsidR="00361E2F" w:rsidRDefault="00883EDC">
            <w:pPr>
              <w:keepNext/>
              <w:keepLines/>
              <w:spacing w:after="0" w:line="240" w:lineRule="auto"/>
              <w:jc w:val="right"/>
            </w:pPr>
            <w:r>
              <w:rPr>
                <w:sz w:val="18"/>
              </w:rPr>
              <w:t>64.157,92</w:t>
            </w:r>
          </w:p>
        </w:tc>
        <w:tc>
          <w:tcPr>
            <w:tcW w:w="1860" w:type="dxa"/>
            <w:tcMar>
              <w:top w:w="0" w:type="dxa"/>
              <w:bottom w:w="0" w:type="dxa"/>
            </w:tcMar>
            <w:vAlign w:val="center"/>
          </w:tcPr>
          <w:p w:rsidR="00361E2F" w:rsidRDefault="00883EDC">
            <w:pPr>
              <w:keepNext/>
              <w:keepLines/>
              <w:spacing w:after="0" w:line="240" w:lineRule="auto"/>
              <w:jc w:val="right"/>
            </w:pPr>
            <w:r>
              <w:rPr>
                <w:sz w:val="18"/>
              </w:rPr>
              <w:t>35.187,08</w:t>
            </w:r>
          </w:p>
        </w:tc>
        <w:tc>
          <w:tcPr>
            <w:tcW w:w="700" w:type="dxa"/>
            <w:tcMar>
              <w:top w:w="0" w:type="dxa"/>
              <w:bottom w:w="0" w:type="dxa"/>
            </w:tcMar>
            <w:vAlign w:val="center"/>
          </w:tcPr>
          <w:p w:rsidR="00361E2F" w:rsidRDefault="00883EDC">
            <w:pPr>
              <w:keepNext/>
              <w:keepLines/>
              <w:spacing w:after="0" w:line="240" w:lineRule="auto"/>
              <w:jc w:val="right"/>
            </w:pPr>
            <w:r>
              <w:rPr>
                <w:sz w:val="18"/>
              </w:rPr>
              <w:t>54,8</w:t>
            </w:r>
          </w:p>
        </w:tc>
      </w:tr>
    </w:tbl>
    <w:p w:rsidR="00361E2F" w:rsidRDefault="00361E2F">
      <w:pPr>
        <w:spacing w:after="0"/>
      </w:pPr>
    </w:p>
    <w:p w:rsidR="00361E2F" w:rsidRDefault="00883EDC">
      <w:pPr>
        <w:jc w:val="both"/>
      </w:pPr>
      <w:r>
        <w:t>Šifra 422 – Postrojenja i oprema ostvareni su u iznosu od 35.187,08 eura, te su niži za 45,2 % niže od istih 2024. godine. Isti se rashodi o</w:t>
      </w:r>
      <w:r w:rsidR="000F3498">
        <w:t>d</w:t>
      </w:r>
      <w:r>
        <w:t>nose na nabavku računalne opreme i opremanje dječjeg igrališta sa spravama, te opreme u DV „Snježna pahulja“.</w:t>
      </w:r>
    </w:p>
    <w:p w:rsidR="00361E2F" w:rsidRDefault="00361E2F"/>
    <w:p w:rsidR="00361E2F" w:rsidRDefault="00883EDC">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426</w:t>
            </w:r>
          </w:p>
        </w:tc>
        <w:tc>
          <w:tcPr>
            <w:tcW w:w="3180" w:type="dxa"/>
            <w:tcMar>
              <w:top w:w="0" w:type="dxa"/>
              <w:bottom w:w="0" w:type="dxa"/>
            </w:tcMar>
            <w:vAlign w:val="center"/>
          </w:tcPr>
          <w:p w:rsidR="00361E2F" w:rsidRDefault="00883EDC">
            <w:pPr>
              <w:keepNext/>
              <w:keepLines/>
              <w:spacing w:after="0" w:line="240" w:lineRule="auto"/>
            </w:pPr>
            <w:r>
              <w:rPr>
                <w:sz w:val="18"/>
              </w:rPr>
              <w:t>Nematerijalna proizvedena imovina (šifre 4261 do 4264)</w:t>
            </w:r>
          </w:p>
        </w:tc>
        <w:tc>
          <w:tcPr>
            <w:tcW w:w="700" w:type="dxa"/>
            <w:tcMar>
              <w:top w:w="0" w:type="dxa"/>
              <w:bottom w:w="0" w:type="dxa"/>
            </w:tcMar>
            <w:vAlign w:val="center"/>
          </w:tcPr>
          <w:p w:rsidR="00361E2F" w:rsidRDefault="00883EDC">
            <w:pPr>
              <w:keepNext/>
              <w:keepLines/>
              <w:spacing w:after="0" w:line="240" w:lineRule="auto"/>
            </w:pPr>
            <w:r>
              <w:rPr>
                <w:sz w:val="18"/>
              </w:rPr>
              <w:t>426</w:t>
            </w:r>
          </w:p>
        </w:tc>
        <w:tc>
          <w:tcPr>
            <w:tcW w:w="1860" w:type="dxa"/>
            <w:tcMar>
              <w:top w:w="0" w:type="dxa"/>
              <w:bottom w:w="0" w:type="dxa"/>
            </w:tcMar>
            <w:vAlign w:val="center"/>
          </w:tcPr>
          <w:p w:rsidR="00361E2F" w:rsidRDefault="00883EDC">
            <w:pPr>
              <w:keepNext/>
              <w:keepLines/>
              <w:spacing w:after="0" w:line="240" w:lineRule="auto"/>
              <w:jc w:val="right"/>
            </w:pPr>
            <w:r>
              <w:rPr>
                <w:sz w:val="18"/>
              </w:rPr>
              <w:t>23.125,00</w:t>
            </w:r>
          </w:p>
        </w:tc>
        <w:tc>
          <w:tcPr>
            <w:tcW w:w="1860" w:type="dxa"/>
            <w:tcMar>
              <w:top w:w="0" w:type="dxa"/>
              <w:bottom w:w="0" w:type="dxa"/>
            </w:tcMar>
            <w:vAlign w:val="center"/>
          </w:tcPr>
          <w:p w:rsidR="00361E2F" w:rsidRDefault="00883EDC">
            <w:pPr>
              <w:keepNext/>
              <w:keepLines/>
              <w:spacing w:after="0" w:line="240" w:lineRule="auto"/>
              <w:jc w:val="right"/>
            </w:pPr>
            <w:r>
              <w:rPr>
                <w:sz w:val="18"/>
              </w:rPr>
              <w:t>45.025,00</w:t>
            </w:r>
          </w:p>
        </w:tc>
        <w:tc>
          <w:tcPr>
            <w:tcW w:w="700" w:type="dxa"/>
            <w:tcMar>
              <w:top w:w="0" w:type="dxa"/>
              <w:bottom w:w="0" w:type="dxa"/>
            </w:tcMar>
            <w:vAlign w:val="center"/>
          </w:tcPr>
          <w:p w:rsidR="00361E2F" w:rsidRDefault="00883EDC">
            <w:pPr>
              <w:keepNext/>
              <w:keepLines/>
              <w:spacing w:after="0" w:line="240" w:lineRule="auto"/>
              <w:jc w:val="right"/>
            </w:pPr>
            <w:r>
              <w:rPr>
                <w:sz w:val="18"/>
              </w:rPr>
              <w:t>194,7</w:t>
            </w:r>
          </w:p>
        </w:tc>
      </w:tr>
    </w:tbl>
    <w:p w:rsidR="00361E2F" w:rsidRDefault="00361E2F">
      <w:pPr>
        <w:spacing w:after="0"/>
      </w:pPr>
    </w:p>
    <w:p w:rsidR="00361E2F" w:rsidRDefault="00883EDC">
      <w:pPr>
        <w:jc w:val="both"/>
      </w:pPr>
      <w:r>
        <w:t xml:space="preserve">Šifra 426 - Nematerijalna proizvedena imovina u 2025. godini odnosi se na  rashode za izradu idejnog rješenja proširenja Groblja u </w:t>
      </w:r>
      <w:proofErr w:type="spellStart"/>
      <w:r>
        <w:t>Liču</w:t>
      </w:r>
      <w:proofErr w:type="spellEnd"/>
      <w:r>
        <w:t xml:space="preserve"> i izradu plana javne rasvjete na području Općine </w:t>
      </w:r>
      <w:proofErr w:type="spellStart"/>
      <w:r>
        <w:lastRenderedPageBreak/>
        <w:t>Fužine</w:t>
      </w:r>
      <w:proofErr w:type="spellEnd"/>
      <w:r>
        <w:t xml:space="preserve">, te izrada prometnih rješenja za prometnice na području Općine </w:t>
      </w:r>
      <w:proofErr w:type="spellStart"/>
      <w:r>
        <w:t>Fužine</w:t>
      </w:r>
      <w:proofErr w:type="spellEnd"/>
      <w:r>
        <w:t xml:space="preserve"> i autobusnog stajališta </w:t>
      </w:r>
      <w:proofErr w:type="spellStart"/>
      <w:r>
        <w:t>Fužine</w:t>
      </w:r>
      <w:proofErr w:type="spellEnd"/>
      <w:r>
        <w:t>.</w:t>
      </w:r>
    </w:p>
    <w:p w:rsidR="00361E2F" w:rsidRDefault="00361E2F"/>
    <w:p w:rsidR="00361E2F" w:rsidRDefault="00883EDC">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542</w:t>
            </w:r>
          </w:p>
        </w:tc>
        <w:tc>
          <w:tcPr>
            <w:tcW w:w="3180" w:type="dxa"/>
            <w:tcMar>
              <w:top w:w="0" w:type="dxa"/>
              <w:bottom w:w="0" w:type="dxa"/>
            </w:tcMar>
            <w:vAlign w:val="center"/>
          </w:tcPr>
          <w:p w:rsidR="00361E2F" w:rsidRDefault="00883EDC">
            <w:pPr>
              <w:keepNext/>
              <w:keepLines/>
              <w:spacing w:after="0" w:line="240" w:lineRule="auto"/>
            </w:pPr>
            <w:r>
              <w:rPr>
                <w:sz w:val="18"/>
              </w:rPr>
              <w:t>Otplata glavnice primljenih kredita i zajmova od kreditnih i ostalih financijskih institucija u javnom sektoru (šifre 5422 do 5424)</w:t>
            </w:r>
          </w:p>
        </w:tc>
        <w:tc>
          <w:tcPr>
            <w:tcW w:w="700" w:type="dxa"/>
            <w:tcMar>
              <w:top w:w="0" w:type="dxa"/>
              <w:bottom w:w="0" w:type="dxa"/>
            </w:tcMar>
            <w:vAlign w:val="center"/>
          </w:tcPr>
          <w:p w:rsidR="00361E2F" w:rsidRDefault="00883EDC">
            <w:pPr>
              <w:keepNext/>
              <w:keepLines/>
              <w:spacing w:after="0" w:line="240" w:lineRule="auto"/>
            </w:pPr>
            <w:r>
              <w:rPr>
                <w:sz w:val="18"/>
              </w:rPr>
              <w:t>542</w:t>
            </w:r>
          </w:p>
        </w:tc>
        <w:tc>
          <w:tcPr>
            <w:tcW w:w="1860" w:type="dxa"/>
            <w:tcMar>
              <w:top w:w="0" w:type="dxa"/>
              <w:bottom w:w="0" w:type="dxa"/>
            </w:tcMar>
            <w:vAlign w:val="center"/>
          </w:tcPr>
          <w:p w:rsidR="00361E2F" w:rsidRDefault="00883EDC">
            <w:pPr>
              <w:keepNext/>
              <w:keepLines/>
              <w:spacing w:after="0" w:line="240" w:lineRule="auto"/>
              <w:jc w:val="right"/>
            </w:pPr>
            <w:r>
              <w:rPr>
                <w:sz w:val="18"/>
              </w:rPr>
              <w:t>101.908,62</w:t>
            </w:r>
          </w:p>
        </w:tc>
        <w:tc>
          <w:tcPr>
            <w:tcW w:w="1860" w:type="dxa"/>
            <w:tcMar>
              <w:top w:w="0" w:type="dxa"/>
              <w:bottom w:w="0" w:type="dxa"/>
            </w:tcMar>
            <w:vAlign w:val="center"/>
          </w:tcPr>
          <w:p w:rsidR="00361E2F" w:rsidRDefault="00883EDC">
            <w:pPr>
              <w:keepNext/>
              <w:keepLines/>
              <w:spacing w:after="0" w:line="240" w:lineRule="auto"/>
              <w:jc w:val="right"/>
            </w:pPr>
            <w:r>
              <w:rPr>
                <w:sz w:val="18"/>
              </w:rPr>
              <w:t>98.769,14</w:t>
            </w:r>
          </w:p>
        </w:tc>
        <w:tc>
          <w:tcPr>
            <w:tcW w:w="700" w:type="dxa"/>
            <w:tcMar>
              <w:top w:w="0" w:type="dxa"/>
              <w:bottom w:w="0" w:type="dxa"/>
            </w:tcMar>
            <w:vAlign w:val="center"/>
          </w:tcPr>
          <w:p w:rsidR="00361E2F" w:rsidRDefault="00883EDC">
            <w:pPr>
              <w:keepNext/>
              <w:keepLines/>
              <w:spacing w:after="0" w:line="240" w:lineRule="auto"/>
              <w:jc w:val="right"/>
            </w:pPr>
            <w:r>
              <w:rPr>
                <w:sz w:val="18"/>
              </w:rPr>
              <w:t>96,9</w:t>
            </w:r>
          </w:p>
        </w:tc>
      </w:tr>
    </w:tbl>
    <w:p w:rsidR="00361E2F" w:rsidRDefault="00361E2F">
      <w:pPr>
        <w:spacing w:after="0"/>
      </w:pPr>
    </w:p>
    <w:p w:rsidR="00361E2F" w:rsidRDefault="00883EDC" w:rsidP="000F3498">
      <w:pPr>
        <w:jc w:val="both"/>
      </w:pPr>
      <w:r>
        <w:t xml:space="preserve">Šifra 542 – Otplata glavnice primljenih kredita i zajmova od kreditnih i ostalih institucija u javnom sektoru u iznosu od 98.769,14 eura odnosi se na otplatu rata kredita za koje se Općina </w:t>
      </w:r>
      <w:proofErr w:type="spellStart"/>
      <w:r>
        <w:t>Fužine</w:t>
      </w:r>
      <w:proofErr w:type="spellEnd"/>
      <w:r>
        <w:t xml:space="preserve"> zadužila i to: izgradnja dječjeg vrtića u </w:t>
      </w:r>
      <w:proofErr w:type="spellStart"/>
      <w:r>
        <w:t>Fužinama</w:t>
      </w:r>
      <w:proofErr w:type="spellEnd"/>
      <w:r>
        <w:t xml:space="preserve">, izgradnja prometnice Kraljev jarak u zoni TN T1-2 Vrelo u </w:t>
      </w:r>
      <w:proofErr w:type="spellStart"/>
      <w:r>
        <w:t>Fužinama</w:t>
      </w:r>
      <w:proofErr w:type="spellEnd"/>
      <w:r>
        <w:t xml:space="preserve">, energetska obnova javne rasvjete i razvoj vodoopskrbe i sustava odvodnje na području Općine </w:t>
      </w:r>
      <w:proofErr w:type="spellStart"/>
      <w:r>
        <w:t>Fužine</w:t>
      </w:r>
      <w:proofErr w:type="spellEnd"/>
      <w:r>
        <w:t>.</w:t>
      </w:r>
    </w:p>
    <w:p w:rsidR="00361E2F" w:rsidRDefault="00883EDC">
      <w:r>
        <w:t> </w:t>
      </w:r>
    </w:p>
    <w:p w:rsidR="00361E2F" w:rsidRDefault="00883EDC">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sz w:val="18"/>
              </w:rPr>
              <w:t>UKUPNI PRIHODI I PRIMICI (šifre X067+8)</w:t>
            </w:r>
          </w:p>
        </w:tc>
        <w:tc>
          <w:tcPr>
            <w:tcW w:w="700" w:type="dxa"/>
            <w:tcMar>
              <w:top w:w="0" w:type="dxa"/>
              <w:bottom w:w="0" w:type="dxa"/>
            </w:tcMar>
            <w:vAlign w:val="center"/>
          </w:tcPr>
          <w:p w:rsidR="00361E2F" w:rsidRDefault="00883EDC">
            <w:pPr>
              <w:keepNext/>
              <w:keepLines/>
              <w:spacing w:after="0" w:line="240" w:lineRule="auto"/>
            </w:pPr>
            <w:r>
              <w:rPr>
                <w:sz w:val="18"/>
              </w:rPr>
              <w:t>X678</w:t>
            </w:r>
          </w:p>
        </w:tc>
        <w:tc>
          <w:tcPr>
            <w:tcW w:w="1860" w:type="dxa"/>
            <w:tcMar>
              <w:top w:w="0" w:type="dxa"/>
              <w:bottom w:w="0" w:type="dxa"/>
            </w:tcMar>
            <w:vAlign w:val="center"/>
          </w:tcPr>
          <w:p w:rsidR="00361E2F" w:rsidRDefault="00883EDC">
            <w:pPr>
              <w:keepNext/>
              <w:keepLines/>
              <w:spacing w:after="0" w:line="240" w:lineRule="auto"/>
              <w:jc w:val="right"/>
            </w:pPr>
            <w:r>
              <w:rPr>
                <w:sz w:val="18"/>
              </w:rPr>
              <w:t>3.219.675,64</w:t>
            </w:r>
          </w:p>
        </w:tc>
        <w:tc>
          <w:tcPr>
            <w:tcW w:w="1860" w:type="dxa"/>
            <w:tcMar>
              <w:top w:w="0" w:type="dxa"/>
              <w:bottom w:w="0" w:type="dxa"/>
            </w:tcMar>
            <w:vAlign w:val="center"/>
          </w:tcPr>
          <w:p w:rsidR="00361E2F" w:rsidRDefault="00883EDC">
            <w:pPr>
              <w:keepNext/>
              <w:keepLines/>
              <w:spacing w:after="0" w:line="240" w:lineRule="auto"/>
              <w:jc w:val="right"/>
            </w:pPr>
            <w:r>
              <w:rPr>
                <w:sz w:val="18"/>
              </w:rPr>
              <w:t>3.534.042,55</w:t>
            </w:r>
          </w:p>
        </w:tc>
        <w:tc>
          <w:tcPr>
            <w:tcW w:w="700" w:type="dxa"/>
            <w:tcMar>
              <w:top w:w="0" w:type="dxa"/>
              <w:bottom w:w="0" w:type="dxa"/>
            </w:tcMar>
            <w:vAlign w:val="center"/>
          </w:tcPr>
          <w:p w:rsidR="00361E2F" w:rsidRDefault="00883EDC">
            <w:pPr>
              <w:keepNext/>
              <w:keepLines/>
              <w:spacing w:after="0" w:line="240" w:lineRule="auto"/>
              <w:jc w:val="right"/>
            </w:pPr>
            <w:r>
              <w:rPr>
                <w:sz w:val="18"/>
              </w:rPr>
              <w:t>109,8</w:t>
            </w:r>
          </w:p>
        </w:tc>
      </w:tr>
    </w:tbl>
    <w:p w:rsidR="00361E2F" w:rsidRDefault="00361E2F">
      <w:pPr>
        <w:spacing w:after="0"/>
      </w:pPr>
    </w:p>
    <w:p w:rsidR="00361E2F" w:rsidRDefault="00883EDC">
      <w:pPr>
        <w:jc w:val="both"/>
      </w:pPr>
      <w:r>
        <w:t>Šifra X678 – Ukupni prihodi i primici ostvareni su u iznosu od 3.534.042,55 eura što je za 9,8 % više u odnosu na 2024. godinu. </w:t>
      </w:r>
    </w:p>
    <w:p w:rsidR="00361E2F" w:rsidRDefault="00883EDC">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sz w:val="18"/>
              </w:rPr>
              <w:t>UKUPNI RASHODI I IZDACI (šifre Y034+5)</w:t>
            </w:r>
          </w:p>
        </w:tc>
        <w:tc>
          <w:tcPr>
            <w:tcW w:w="700" w:type="dxa"/>
            <w:tcMar>
              <w:top w:w="0" w:type="dxa"/>
              <w:bottom w:w="0" w:type="dxa"/>
            </w:tcMar>
            <w:vAlign w:val="center"/>
          </w:tcPr>
          <w:p w:rsidR="00361E2F" w:rsidRDefault="00883EDC">
            <w:pPr>
              <w:keepNext/>
              <w:keepLines/>
              <w:spacing w:after="0" w:line="240" w:lineRule="auto"/>
            </w:pPr>
            <w:r>
              <w:rPr>
                <w:sz w:val="18"/>
              </w:rPr>
              <w:t>Y345</w:t>
            </w:r>
          </w:p>
        </w:tc>
        <w:tc>
          <w:tcPr>
            <w:tcW w:w="1860" w:type="dxa"/>
            <w:tcMar>
              <w:top w:w="0" w:type="dxa"/>
              <w:bottom w:w="0" w:type="dxa"/>
            </w:tcMar>
            <w:vAlign w:val="center"/>
          </w:tcPr>
          <w:p w:rsidR="00361E2F" w:rsidRDefault="00883EDC">
            <w:pPr>
              <w:keepNext/>
              <w:keepLines/>
              <w:spacing w:after="0" w:line="240" w:lineRule="auto"/>
              <w:jc w:val="right"/>
            </w:pPr>
            <w:r>
              <w:rPr>
                <w:sz w:val="18"/>
              </w:rPr>
              <w:t>3.340.186,29</w:t>
            </w:r>
          </w:p>
        </w:tc>
        <w:tc>
          <w:tcPr>
            <w:tcW w:w="1860" w:type="dxa"/>
            <w:tcMar>
              <w:top w:w="0" w:type="dxa"/>
              <w:bottom w:w="0" w:type="dxa"/>
            </w:tcMar>
            <w:vAlign w:val="center"/>
          </w:tcPr>
          <w:p w:rsidR="00361E2F" w:rsidRDefault="00883EDC">
            <w:pPr>
              <w:keepNext/>
              <w:keepLines/>
              <w:spacing w:after="0" w:line="240" w:lineRule="auto"/>
              <w:jc w:val="right"/>
            </w:pPr>
            <w:r>
              <w:rPr>
                <w:sz w:val="18"/>
              </w:rPr>
              <w:t>3.343.548,38</w:t>
            </w:r>
          </w:p>
        </w:tc>
        <w:tc>
          <w:tcPr>
            <w:tcW w:w="700" w:type="dxa"/>
            <w:tcMar>
              <w:top w:w="0" w:type="dxa"/>
              <w:bottom w:w="0" w:type="dxa"/>
            </w:tcMar>
            <w:vAlign w:val="center"/>
          </w:tcPr>
          <w:p w:rsidR="00361E2F" w:rsidRDefault="00883EDC">
            <w:pPr>
              <w:keepNext/>
              <w:keepLines/>
              <w:spacing w:after="0" w:line="240" w:lineRule="auto"/>
              <w:jc w:val="right"/>
            </w:pPr>
            <w:r>
              <w:rPr>
                <w:sz w:val="18"/>
              </w:rPr>
              <w:t>100,1</w:t>
            </w:r>
          </w:p>
        </w:tc>
      </w:tr>
    </w:tbl>
    <w:p w:rsidR="00361E2F" w:rsidRDefault="00361E2F">
      <w:pPr>
        <w:spacing w:after="0"/>
      </w:pPr>
    </w:p>
    <w:p w:rsidR="00361E2F" w:rsidRDefault="00883EDC">
      <w:pPr>
        <w:jc w:val="both"/>
      </w:pPr>
      <w:r>
        <w:t>Šifra Y345 – Ukupni rashodi i izdaci ostvareni su u iznosu od 3.343.548,38 eura što predstavlja povećanje za 0,1 % u odnosu na prošlu godinu u istom razdoblju.</w:t>
      </w:r>
    </w:p>
    <w:p w:rsidR="00361E2F" w:rsidRDefault="00883EDC">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sz w:val="18"/>
              </w:rPr>
              <w:t>VIŠAK PRIHODA I PRIMITAKA (šifre X678-Y345)</w:t>
            </w:r>
          </w:p>
        </w:tc>
        <w:tc>
          <w:tcPr>
            <w:tcW w:w="700" w:type="dxa"/>
            <w:tcMar>
              <w:top w:w="0" w:type="dxa"/>
              <w:bottom w:w="0" w:type="dxa"/>
            </w:tcMar>
            <w:vAlign w:val="center"/>
          </w:tcPr>
          <w:p w:rsidR="00361E2F" w:rsidRDefault="00883EDC">
            <w:pPr>
              <w:keepNext/>
              <w:keepLines/>
              <w:spacing w:after="0" w:line="240" w:lineRule="auto"/>
            </w:pPr>
            <w:r>
              <w:rPr>
                <w:sz w:val="18"/>
              </w:rPr>
              <w:t>X005</w:t>
            </w:r>
          </w:p>
        </w:tc>
        <w:tc>
          <w:tcPr>
            <w:tcW w:w="1860" w:type="dxa"/>
            <w:tcMar>
              <w:top w:w="0" w:type="dxa"/>
              <w:bottom w:w="0" w:type="dxa"/>
            </w:tcMar>
            <w:vAlign w:val="center"/>
          </w:tcPr>
          <w:p w:rsidR="00361E2F" w:rsidRDefault="00883EDC">
            <w:pPr>
              <w:keepNext/>
              <w:keepLines/>
              <w:spacing w:after="0" w:line="240" w:lineRule="auto"/>
              <w:jc w:val="right"/>
            </w:pPr>
            <w:r>
              <w:rPr>
                <w:sz w:val="18"/>
              </w:rPr>
              <w:t>0,00</w:t>
            </w:r>
          </w:p>
        </w:tc>
        <w:tc>
          <w:tcPr>
            <w:tcW w:w="1860" w:type="dxa"/>
            <w:tcMar>
              <w:top w:w="0" w:type="dxa"/>
              <w:bottom w:w="0" w:type="dxa"/>
            </w:tcMar>
            <w:vAlign w:val="center"/>
          </w:tcPr>
          <w:p w:rsidR="00361E2F" w:rsidRDefault="00883EDC">
            <w:pPr>
              <w:keepNext/>
              <w:keepLines/>
              <w:spacing w:after="0" w:line="240" w:lineRule="auto"/>
              <w:jc w:val="right"/>
            </w:pPr>
            <w:r>
              <w:rPr>
                <w:sz w:val="18"/>
              </w:rPr>
              <w:t>190.494,17</w:t>
            </w:r>
          </w:p>
        </w:tc>
        <w:tc>
          <w:tcPr>
            <w:tcW w:w="700" w:type="dxa"/>
            <w:tcMar>
              <w:top w:w="0" w:type="dxa"/>
              <w:bottom w:w="0" w:type="dxa"/>
            </w:tcMar>
            <w:vAlign w:val="center"/>
          </w:tcPr>
          <w:p w:rsidR="00361E2F" w:rsidRDefault="00883EDC">
            <w:pPr>
              <w:keepNext/>
              <w:keepLines/>
              <w:spacing w:after="0" w:line="240" w:lineRule="auto"/>
              <w:jc w:val="right"/>
            </w:pPr>
            <w:r>
              <w:rPr>
                <w:sz w:val="18"/>
              </w:rPr>
              <w:t>-</w:t>
            </w:r>
          </w:p>
        </w:tc>
      </w:tr>
    </w:tbl>
    <w:p w:rsidR="00361E2F" w:rsidRDefault="00361E2F">
      <w:pPr>
        <w:spacing w:after="0"/>
      </w:pPr>
    </w:p>
    <w:p w:rsidR="00361E2F" w:rsidRDefault="00883EDC">
      <w:r>
        <w:t>Šifra X005 – Višak prihoda i primitaka za pokriće u slijedećem razdoblju iznosi 190.494,17 eura.</w:t>
      </w:r>
    </w:p>
    <w:p w:rsidR="00361E2F" w:rsidRDefault="00883EDC">
      <w:pPr>
        <w:keepNext/>
        <w:spacing w:line="240" w:lineRule="auto"/>
        <w:jc w:val="center"/>
      </w:pPr>
      <w:r>
        <w:rPr>
          <w:b/>
          <w:sz w:val="28"/>
        </w:rPr>
        <w:lastRenderedPageBreak/>
        <w:t>Bilanca</w:t>
      </w:r>
    </w:p>
    <w:p w:rsidR="00361E2F" w:rsidRDefault="00883EDC">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0</w:t>
            </w:r>
          </w:p>
        </w:tc>
        <w:tc>
          <w:tcPr>
            <w:tcW w:w="3180" w:type="dxa"/>
            <w:tcMar>
              <w:top w:w="0" w:type="dxa"/>
              <w:bottom w:w="0" w:type="dxa"/>
            </w:tcMar>
            <w:vAlign w:val="center"/>
          </w:tcPr>
          <w:p w:rsidR="00361E2F" w:rsidRDefault="00883EDC">
            <w:pPr>
              <w:keepNext/>
              <w:keepLines/>
              <w:spacing w:after="0" w:line="240" w:lineRule="auto"/>
            </w:pPr>
            <w:r>
              <w:rPr>
                <w:sz w:val="18"/>
              </w:rPr>
              <w:t>Nefinancijska imovina (šifre 01+02+03+04+05+06)</w:t>
            </w:r>
          </w:p>
        </w:tc>
        <w:tc>
          <w:tcPr>
            <w:tcW w:w="700" w:type="dxa"/>
            <w:tcMar>
              <w:top w:w="0" w:type="dxa"/>
              <w:bottom w:w="0" w:type="dxa"/>
            </w:tcMar>
            <w:vAlign w:val="center"/>
          </w:tcPr>
          <w:p w:rsidR="00361E2F" w:rsidRDefault="00883EDC">
            <w:pPr>
              <w:keepNext/>
              <w:keepLines/>
              <w:spacing w:after="0" w:line="240" w:lineRule="auto"/>
            </w:pPr>
            <w:r>
              <w:rPr>
                <w:sz w:val="18"/>
              </w:rPr>
              <w:t>B002</w:t>
            </w:r>
          </w:p>
        </w:tc>
        <w:tc>
          <w:tcPr>
            <w:tcW w:w="1860" w:type="dxa"/>
            <w:tcMar>
              <w:top w:w="0" w:type="dxa"/>
              <w:bottom w:w="0" w:type="dxa"/>
            </w:tcMar>
            <w:vAlign w:val="center"/>
          </w:tcPr>
          <w:p w:rsidR="00361E2F" w:rsidRDefault="00883EDC">
            <w:pPr>
              <w:keepNext/>
              <w:keepLines/>
              <w:spacing w:after="0" w:line="240" w:lineRule="auto"/>
              <w:jc w:val="right"/>
            </w:pPr>
            <w:r>
              <w:rPr>
                <w:sz w:val="18"/>
              </w:rPr>
              <w:t>22.674.156,89</w:t>
            </w:r>
          </w:p>
        </w:tc>
        <w:tc>
          <w:tcPr>
            <w:tcW w:w="1860" w:type="dxa"/>
            <w:tcMar>
              <w:top w:w="0" w:type="dxa"/>
              <w:bottom w:w="0" w:type="dxa"/>
            </w:tcMar>
            <w:vAlign w:val="center"/>
          </w:tcPr>
          <w:p w:rsidR="00361E2F" w:rsidRDefault="00883EDC">
            <w:pPr>
              <w:keepNext/>
              <w:keepLines/>
              <w:spacing w:after="0" w:line="240" w:lineRule="auto"/>
              <w:jc w:val="right"/>
            </w:pPr>
            <w:r>
              <w:rPr>
                <w:sz w:val="18"/>
              </w:rPr>
              <w:t>22.100.698,31</w:t>
            </w:r>
          </w:p>
        </w:tc>
        <w:tc>
          <w:tcPr>
            <w:tcW w:w="700" w:type="dxa"/>
            <w:tcMar>
              <w:top w:w="0" w:type="dxa"/>
              <w:bottom w:w="0" w:type="dxa"/>
            </w:tcMar>
            <w:vAlign w:val="center"/>
          </w:tcPr>
          <w:p w:rsidR="00361E2F" w:rsidRDefault="00883EDC">
            <w:pPr>
              <w:keepNext/>
              <w:keepLines/>
              <w:spacing w:after="0" w:line="240" w:lineRule="auto"/>
              <w:jc w:val="right"/>
            </w:pPr>
            <w:r>
              <w:rPr>
                <w:sz w:val="18"/>
              </w:rPr>
              <w:t>97,5</w:t>
            </w:r>
          </w:p>
        </w:tc>
      </w:tr>
    </w:tbl>
    <w:p w:rsidR="00361E2F" w:rsidRDefault="00361E2F">
      <w:pPr>
        <w:spacing w:after="0"/>
      </w:pPr>
    </w:p>
    <w:p w:rsidR="00361E2F" w:rsidRDefault="00883EDC">
      <w:pPr>
        <w:jc w:val="both"/>
      </w:pPr>
      <w:r>
        <w:t>Šifra B002 – ukupna vrijednost nefinancijske imovine na dan 31.12.2025. godine iznosi  22.100.698,31 eura i manja je za 2,5 % u odnosu na prethodnu godinu zbog obračunatog ispravka vrijednosti.</w:t>
      </w:r>
    </w:p>
    <w:p w:rsidR="00361E2F" w:rsidRDefault="00361E2F"/>
    <w:p w:rsidR="00361E2F" w:rsidRDefault="00883EDC">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01</w:t>
            </w:r>
          </w:p>
        </w:tc>
        <w:tc>
          <w:tcPr>
            <w:tcW w:w="3180" w:type="dxa"/>
            <w:tcMar>
              <w:top w:w="0" w:type="dxa"/>
              <w:bottom w:w="0" w:type="dxa"/>
            </w:tcMar>
            <w:vAlign w:val="center"/>
          </w:tcPr>
          <w:p w:rsidR="00361E2F" w:rsidRDefault="00883EDC">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rsidR="00361E2F" w:rsidRDefault="00883EDC">
            <w:pPr>
              <w:keepNext/>
              <w:keepLines/>
              <w:spacing w:after="0" w:line="240" w:lineRule="auto"/>
            </w:pPr>
            <w:r>
              <w:rPr>
                <w:sz w:val="18"/>
              </w:rPr>
              <w:t>01</w:t>
            </w:r>
          </w:p>
        </w:tc>
        <w:tc>
          <w:tcPr>
            <w:tcW w:w="1860" w:type="dxa"/>
            <w:tcMar>
              <w:top w:w="0" w:type="dxa"/>
              <w:bottom w:w="0" w:type="dxa"/>
            </w:tcMar>
            <w:vAlign w:val="center"/>
          </w:tcPr>
          <w:p w:rsidR="00361E2F" w:rsidRDefault="00883EDC">
            <w:pPr>
              <w:keepNext/>
              <w:keepLines/>
              <w:spacing w:after="0" w:line="240" w:lineRule="auto"/>
              <w:jc w:val="right"/>
            </w:pPr>
            <w:r>
              <w:rPr>
                <w:sz w:val="18"/>
              </w:rPr>
              <w:t>8.124.946,99</w:t>
            </w:r>
          </w:p>
        </w:tc>
        <w:tc>
          <w:tcPr>
            <w:tcW w:w="1860" w:type="dxa"/>
            <w:tcMar>
              <w:top w:w="0" w:type="dxa"/>
              <w:bottom w:w="0" w:type="dxa"/>
            </w:tcMar>
            <w:vAlign w:val="center"/>
          </w:tcPr>
          <w:p w:rsidR="00361E2F" w:rsidRDefault="00883EDC">
            <w:pPr>
              <w:keepNext/>
              <w:keepLines/>
              <w:spacing w:after="0" w:line="240" w:lineRule="auto"/>
              <w:jc w:val="right"/>
            </w:pPr>
            <w:r>
              <w:rPr>
                <w:sz w:val="18"/>
              </w:rPr>
              <w:t>8.128.504,13</w:t>
            </w:r>
          </w:p>
        </w:tc>
        <w:tc>
          <w:tcPr>
            <w:tcW w:w="700" w:type="dxa"/>
            <w:tcMar>
              <w:top w:w="0" w:type="dxa"/>
              <w:bottom w:w="0" w:type="dxa"/>
            </w:tcMar>
            <w:vAlign w:val="center"/>
          </w:tcPr>
          <w:p w:rsidR="00361E2F" w:rsidRDefault="00883EDC">
            <w:pPr>
              <w:keepNext/>
              <w:keepLines/>
              <w:spacing w:after="0" w:line="240" w:lineRule="auto"/>
              <w:jc w:val="right"/>
            </w:pPr>
            <w:r>
              <w:rPr>
                <w:sz w:val="18"/>
              </w:rPr>
              <w:t>100,0</w:t>
            </w:r>
          </w:p>
        </w:tc>
      </w:tr>
    </w:tbl>
    <w:p w:rsidR="00361E2F" w:rsidRDefault="00361E2F">
      <w:pPr>
        <w:spacing w:after="0"/>
      </w:pPr>
    </w:p>
    <w:p w:rsidR="00361E2F" w:rsidRDefault="00883EDC">
      <w:r>
        <w:t xml:space="preserve">Šifra 01 - vrijednost </w:t>
      </w:r>
      <w:proofErr w:type="spellStart"/>
      <w:r>
        <w:t>neproizvedene</w:t>
      </w:r>
      <w:proofErr w:type="spellEnd"/>
      <w:r>
        <w:t xml:space="preserve"> dugotrajne imovine  na dan 31.12.2025. godine je povećana za iznos od 238,39 eura.</w:t>
      </w:r>
    </w:p>
    <w:p w:rsidR="00361E2F" w:rsidRDefault="00883EDC">
      <w:r>
        <w:t> </w:t>
      </w:r>
    </w:p>
    <w:p w:rsidR="00361E2F" w:rsidRDefault="00883EDC">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0214</w:t>
            </w:r>
          </w:p>
        </w:tc>
        <w:tc>
          <w:tcPr>
            <w:tcW w:w="3180" w:type="dxa"/>
            <w:tcMar>
              <w:top w:w="0" w:type="dxa"/>
              <w:bottom w:w="0" w:type="dxa"/>
            </w:tcMar>
            <w:vAlign w:val="center"/>
          </w:tcPr>
          <w:p w:rsidR="00361E2F" w:rsidRDefault="00883EDC">
            <w:pPr>
              <w:keepNext/>
              <w:keepLines/>
              <w:spacing w:after="0" w:line="240" w:lineRule="auto"/>
            </w:pPr>
            <w:r>
              <w:rPr>
                <w:sz w:val="18"/>
              </w:rPr>
              <w:t>Ostali građevinski objekti</w:t>
            </w:r>
          </w:p>
        </w:tc>
        <w:tc>
          <w:tcPr>
            <w:tcW w:w="700" w:type="dxa"/>
            <w:tcMar>
              <w:top w:w="0" w:type="dxa"/>
              <w:bottom w:w="0" w:type="dxa"/>
            </w:tcMar>
            <w:vAlign w:val="center"/>
          </w:tcPr>
          <w:p w:rsidR="00361E2F" w:rsidRDefault="00883EDC">
            <w:pPr>
              <w:keepNext/>
              <w:keepLines/>
              <w:spacing w:after="0" w:line="240" w:lineRule="auto"/>
            </w:pPr>
            <w:r>
              <w:rPr>
                <w:sz w:val="18"/>
              </w:rPr>
              <w:t>0214</w:t>
            </w:r>
          </w:p>
        </w:tc>
        <w:tc>
          <w:tcPr>
            <w:tcW w:w="1860" w:type="dxa"/>
            <w:tcMar>
              <w:top w:w="0" w:type="dxa"/>
              <w:bottom w:w="0" w:type="dxa"/>
            </w:tcMar>
            <w:vAlign w:val="center"/>
          </w:tcPr>
          <w:p w:rsidR="00361E2F" w:rsidRDefault="00883EDC">
            <w:pPr>
              <w:keepNext/>
              <w:keepLines/>
              <w:spacing w:after="0" w:line="240" w:lineRule="auto"/>
              <w:jc w:val="right"/>
            </w:pPr>
            <w:r>
              <w:rPr>
                <w:sz w:val="18"/>
              </w:rPr>
              <w:t>7.003.194,47</w:t>
            </w:r>
          </w:p>
        </w:tc>
        <w:tc>
          <w:tcPr>
            <w:tcW w:w="1860" w:type="dxa"/>
            <w:tcMar>
              <w:top w:w="0" w:type="dxa"/>
              <w:bottom w:w="0" w:type="dxa"/>
            </w:tcMar>
            <w:vAlign w:val="center"/>
          </w:tcPr>
          <w:p w:rsidR="00361E2F" w:rsidRDefault="00883EDC">
            <w:pPr>
              <w:keepNext/>
              <w:keepLines/>
              <w:spacing w:after="0" w:line="240" w:lineRule="auto"/>
              <w:jc w:val="right"/>
            </w:pPr>
            <w:r>
              <w:rPr>
                <w:sz w:val="18"/>
              </w:rPr>
              <w:t>7.456.644,51</w:t>
            </w:r>
          </w:p>
        </w:tc>
        <w:tc>
          <w:tcPr>
            <w:tcW w:w="700" w:type="dxa"/>
            <w:tcMar>
              <w:top w:w="0" w:type="dxa"/>
              <w:bottom w:w="0" w:type="dxa"/>
            </w:tcMar>
            <w:vAlign w:val="center"/>
          </w:tcPr>
          <w:p w:rsidR="00361E2F" w:rsidRDefault="00883EDC">
            <w:pPr>
              <w:keepNext/>
              <w:keepLines/>
              <w:spacing w:after="0" w:line="240" w:lineRule="auto"/>
              <w:jc w:val="right"/>
            </w:pPr>
            <w:r>
              <w:rPr>
                <w:sz w:val="18"/>
              </w:rPr>
              <w:t>106,5</w:t>
            </w:r>
          </w:p>
        </w:tc>
      </w:tr>
    </w:tbl>
    <w:p w:rsidR="00361E2F" w:rsidRDefault="00361E2F">
      <w:pPr>
        <w:spacing w:after="0"/>
      </w:pPr>
    </w:p>
    <w:p w:rsidR="00361E2F" w:rsidRDefault="00883EDC">
      <w:r>
        <w:t>Šifra 0214 – ostali građevinski objekti  povećan je iznos za 6,5 % u odnosu na stanje 01.01.2025. godine.</w:t>
      </w:r>
    </w:p>
    <w:p w:rsidR="00361E2F" w:rsidRDefault="00883EDC">
      <w:r>
        <w:t> </w:t>
      </w:r>
    </w:p>
    <w:p w:rsidR="00361E2F" w:rsidRDefault="00883EDC">
      <w:r>
        <w:t>Povećanje se odnosi na slijedeće:</w:t>
      </w:r>
    </w:p>
    <w:p w:rsidR="00361E2F" w:rsidRDefault="00883EDC">
      <w:r>
        <w:t> </w:t>
      </w:r>
    </w:p>
    <w:p w:rsidR="00361E2F" w:rsidRDefault="00883EDC">
      <w:r>
        <w:t xml:space="preserve">- uređenje Tematsko edukativne staze </w:t>
      </w:r>
      <w:proofErr w:type="spellStart"/>
      <w:r>
        <w:t>Lepenica</w:t>
      </w:r>
      <w:proofErr w:type="spellEnd"/>
      <w:r>
        <w:t xml:space="preserve"> II faza – 448.901,45 eura,</w:t>
      </w:r>
    </w:p>
    <w:p w:rsidR="00361E2F" w:rsidRDefault="00883EDC">
      <w:r>
        <w:t>- postavljanje vodovodnog priključka na lokaciji Parkiralište Čoka – 4.548,59 eura.</w:t>
      </w:r>
    </w:p>
    <w:p w:rsidR="00361E2F" w:rsidRDefault="00883EDC">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11</w:t>
            </w:r>
          </w:p>
        </w:tc>
        <w:tc>
          <w:tcPr>
            <w:tcW w:w="3180" w:type="dxa"/>
            <w:tcMar>
              <w:top w:w="0" w:type="dxa"/>
              <w:bottom w:w="0" w:type="dxa"/>
            </w:tcMar>
            <w:vAlign w:val="center"/>
          </w:tcPr>
          <w:p w:rsidR="00361E2F" w:rsidRDefault="00883EDC">
            <w:pPr>
              <w:keepNext/>
              <w:keepLines/>
              <w:spacing w:after="0" w:line="240" w:lineRule="auto"/>
            </w:pPr>
            <w:r>
              <w:rPr>
                <w:sz w:val="18"/>
              </w:rPr>
              <w:t>Novac u banci i blagajni (šifre 111+112 do 114)</w:t>
            </w:r>
          </w:p>
        </w:tc>
        <w:tc>
          <w:tcPr>
            <w:tcW w:w="700" w:type="dxa"/>
            <w:tcMar>
              <w:top w:w="0" w:type="dxa"/>
              <w:bottom w:w="0" w:type="dxa"/>
            </w:tcMar>
            <w:vAlign w:val="center"/>
          </w:tcPr>
          <w:p w:rsidR="00361E2F" w:rsidRDefault="00883EDC">
            <w:pPr>
              <w:keepNext/>
              <w:keepLines/>
              <w:spacing w:after="0" w:line="240" w:lineRule="auto"/>
            </w:pPr>
            <w:r>
              <w:rPr>
                <w:sz w:val="18"/>
              </w:rPr>
              <w:t>11</w:t>
            </w:r>
          </w:p>
        </w:tc>
        <w:tc>
          <w:tcPr>
            <w:tcW w:w="1860" w:type="dxa"/>
            <w:tcMar>
              <w:top w:w="0" w:type="dxa"/>
              <w:bottom w:w="0" w:type="dxa"/>
            </w:tcMar>
            <w:vAlign w:val="center"/>
          </w:tcPr>
          <w:p w:rsidR="00361E2F" w:rsidRDefault="00883EDC">
            <w:pPr>
              <w:keepNext/>
              <w:keepLines/>
              <w:spacing w:after="0" w:line="240" w:lineRule="auto"/>
              <w:jc w:val="right"/>
            </w:pPr>
            <w:r>
              <w:rPr>
                <w:sz w:val="18"/>
              </w:rPr>
              <w:t>54.988,57</w:t>
            </w:r>
          </w:p>
        </w:tc>
        <w:tc>
          <w:tcPr>
            <w:tcW w:w="1860" w:type="dxa"/>
            <w:tcMar>
              <w:top w:w="0" w:type="dxa"/>
              <w:bottom w:w="0" w:type="dxa"/>
            </w:tcMar>
            <w:vAlign w:val="center"/>
          </w:tcPr>
          <w:p w:rsidR="00361E2F" w:rsidRDefault="00883EDC">
            <w:pPr>
              <w:keepNext/>
              <w:keepLines/>
              <w:spacing w:after="0" w:line="240" w:lineRule="auto"/>
              <w:jc w:val="right"/>
            </w:pPr>
            <w:r>
              <w:rPr>
                <w:sz w:val="18"/>
              </w:rPr>
              <w:t>29.296,48</w:t>
            </w:r>
          </w:p>
        </w:tc>
        <w:tc>
          <w:tcPr>
            <w:tcW w:w="700" w:type="dxa"/>
            <w:tcMar>
              <w:top w:w="0" w:type="dxa"/>
              <w:bottom w:w="0" w:type="dxa"/>
            </w:tcMar>
            <w:vAlign w:val="center"/>
          </w:tcPr>
          <w:p w:rsidR="00361E2F" w:rsidRDefault="00883EDC">
            <w:pPr>
              <w:keepNext/>
              <w:keepLines/>
              <w:spacing w:after="0" w:line="240" w:lineRule="auto"/>
              <w:jc w:val="right"/>
            </w:pPr>
            <w:r>
              <w:rPr>
                <w:sz w:val="18"/>
              </w:rPr>
              <w:t>53,3</w:t>
            </w:r>
          </w:p>
        </w:tc>
      </w:tr>
    </w:tbl>
    <w:p w:rsidR="00361E2F" w:rsidRDefault="00361E2F">
      <w:pPr>
        <w:spacing w:after="0"/>
      </w:pPr>
    </w:p>
    <w:p w:rsidR="00361E2F" w:rsidRDefault="00883EDC">
      <w:pPr>
        <w:jc w:val="both"/>
      </w:pPr>
      <w:r>
        <w:t>Šifra 11 – Novac u banci i blagajni – evidentiran je iznos od 29.296,48 €, te se isti odnosi na stanje novčanih sredstva na žiro-računu u iznosu od 29.288,97 eura na dan 31.12.2025. i stanje blagajne u iznosu od 7,51 eura na dan 31.12.2025. godine, te je DV „Snježna pahulja“ sa danom 31.12.2025. godine zatvorio žiro-račun zbog prelaska na Lokalnu riznicu.</w:t>
      </w:r>
    </w:p>
    <w:p w:rsidR="00361E2F" w:rsidRDefault="00361E2F"/>
    <w:p w:rsidR="00361E2F" w:rsidRDefault="00883EDC">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883EDC">
            <w:pPr>
              <w:keepNext/>
              <w:keepLines/>
              <w:spacing w:after="0" w:line="240" w:lineRule="auto"/>
            </w:pPr>
            <w:r>
              <w:rPr>
                <w:sz w:val="18"/>
              </w:rPr>
              <w:t>922</w:t>
            </w:r>
          </w:p>
        </w:tc>
        <w:tc>
          <w:tcPr>
            <w:tcW w:w="3180" w:type="dxa"/>
            <w:tcMar>
              <w:top w:w="0" w:type="dxa"/>
              <w:bottom w:w="0" w:type="dxa"/>
            </w:tcMar>
            <w:vAlign w:val="center"/>
          </w:tcPr>
          <w:p w:rsidR="00361E2F" w:rsidRDefault="00883EDC">
            <w:pPr>
              <w:keepNext/>
              <w:keepLines/>
              <w:spacing w:after="0" w:line="240" w:lineRule="auto"/>
            </w:pPr>
            <w:r>
              <w:rPr>
                <w:sz w:val="18"/>
              </w:rPr>
              <w:t>Rezultat - višak/manjak (šifre 9221-9222)</w:t>
            </w:r>
          </w:p>
        </w:tc>
        <w:tc>
          <w:tcPr>
            <w:tcW w:w="700" w:type="dxa"/>
            <w:tcMar>
              <w:top w:w="0" w:type="dxa"/>
              <w:bottom w:w="0" w:type="dxa"/>
            </w:tcMar>
            <w:vAlign w:val="center"/>
          </w:tcPr>
          <w:p w:rsidR="00361E2F" w:rsidRDefault="00883EDC">
            <w:pPr>
              <w:keepNext/>
              <w:keepLines/>
              <w:spacing w:after="0" w:line="240" w:lineRule="auto"/>
            </w:pPr>
            <w:r>
              <w:rPr>
                <w:sz w:val="18"/>
              </w:rPr>
              <w:t>922</w:t>
            </w:r>
          </w:p>
        </w:tc>
        <w:tc>
          <w:tcPr>
            <w:tcW w:w="1860" w:type="dxa"/>
            <w:tcMar>
              <w:top w:w="0" w:type="dxa"/>
              <w:bottom w:w="0" w:type="dxa"/>
            </w:tcMar>
            <w:vAlign w:val="center"/>
          </w:tcPr>
          <w:p w:rsidR="00361E2F" w:rsidRDefault="00883EDC">
            <w:pPr>
              <w:keepNext/>
              <w:keepLines/>
              <w:spacing w:after="0" w:line="240" w:lineRule="auto"/>
              <w:jc w:val="right"/>
            </w:pPr>
            <w:r>
              <w:rPr>
                <w:sz w:val="18"/>
              </w:rPr>
              <w:t>-692.556,78</w:t>
            </w:r>
          </w:p>
        </w:tc>
        <w:tc>
          <w:tcPr>
            <w:tcW w:w="1860" w:type="dxa"/>
            <w:tcMar>
              <w:top w:w="0" w:type="dxa"/>
              <w:bottom w:w="0" w:type="dxa"/>
            </w:tcMar>
            <w:vAlign w:val="center"/>
          </w:tcPr>
          <w:p w:rsidR="00361E2F" w:rsidRDefault="00883EDC">
            <w:pPr>
              <w:keepNext/>
              <w:keepLines/>
              <w:spacing w:after="0" w:line="240" w:lineRule="auto"/>
              <w:jc w:val="right"/>
            </w:pPr>
            <w:r>
              <w:rPr>
                <w:sz w:val="18"/>
              </w:rPr>
              <w:t>-502.062,61</w:t>
            </w:r>
          </w:p>
        </w:tc>
        <w:tc>
          <w:tcPr>
            <w:tcW w:w="700" w:type="dxa"/>
            <w:tcMar>
              <w:top w:w="0" w:type="dxa"/>
              <w:bottom w:w="0" w:type="dxa"/>
            </w:tcMar>
            <w:vAlign w:val="center"/>
          </w:tcPr>
          <w:p w:rsidR="00361E2F" w:rsidRDefault="00883EDC">
            <w:pPr>
              <w:keepNext/>
              <w:keepLines/>
              <w:spacing w:after="0" w:line="240" w:lineRule="auto"/>
              <w:jc w:val="right"/>
            </w:pPr>
            <w:r>
              <w:rPr>
                <w:sz w:val="18"/>
              </w:rPr>
              <w:t>72,5</w:t>
            </w:r>
          </w:p>
        </w:tc>
      </w:tr>
    </w:tbl>
    <w:p w:rsidR="00361E2F" w:rsidRDefault="00361E2F">
      <w:pPr>
        <w:spacing w:after="0"/>
      </w:pPr>
    </w:p>
    <w:p w:rsidR="00361E2F" w:rsidRDefault="00883EDC" w:rsidP="000F3498">
      <w:pPr>
        <w:jc w:val="both"/>
      </w:pPr>
      <w:r>
        <w:t>Višak prihoda u izvještajnom razdoblju ostvaren je u iznosu od 190.494,17 eura, te je evidentiran ukupan manjak u iznosu od 502.062,61 eura.</w:t>
      </w:r>
    </w:p>
    <w:p w:rsidR="00361E2F" w:rsidRDefault="00883EDC">
      <w:r>
        <w:t> </w:t>
      </w:r>
    </w:p>
    <w:p w:rsidR="00361E2F" w:rsidRDefault="00883EDC">
      <w:pPr>
        <w:keepNext/>
        <w:spacing w:line="240" w:lineRule="auto"/>
        <w:jc w:val="center"/>
      </w:pPr>
      <w:r>
        <w:rPr>
          <w:b/>
          <w:sz w:val="28"/>
        </w:rPr>
        <w:t>Izvještaj o rashodima prema funkcijskoj klasifikaciji</w:t>
      </w:r>
    </w:p>
    <w:p w:rsidR="00361E2F" w:rsidRDefault="00883EDC">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sz w:val="18"/>
              </w:rPr>
              <w:t>Kontrolni zbroj (šifre 01+02+03+04+05+06+07+08+09+10)</w:t>
            </w:r>
          </w:p>
        </w:tc>
        <w:tc>
          <w:tcPr>
            <w:tcW w:w="700" w:type="dxa"/>
            <w:tcMar>
              <w:top w:w="0" w:type="dxa"/>
              <w:bottom w:w="0" w:type="dxa"/>
            </w:tcMar>
            <w:vAlign w:val="center"/>
          </w:tcPr>
          <w:p w:rsidR="00361E2F" w:rsidRDefault="00883EDC">
            <w:pPr>
              <w:keepNext/>
              <w:keepLines/>
              <w:spacing w:after="0" w:line="240" w:lineRule="auto"/>
            </w:pPr>
            <w:r>
              <w:rPr>
                <w:sz w:val="18"/>
              </w:rPr>
              <w:t>R1</w:t>
            </w:r>
          </w:p>
        </w:tc>
        <w:tc>
          <w:tcPr>
            <w:tcW w:w="1860" w:type="dxa"/>
            <w:tcMar>
              <w:top w:w="0" w:type="dxa"/>
              <w:bottom w:w="0" w:type="dxa"/>
            </w:tcMar>
            <w:vAlign w:val="center"/>
          </w:tcPr>
          <w:p w:rsidR="00361E2F" w:rsidRDefault="00883EDC">
            <w:pPr>
              <w:keepNext/>
              <w:keepLines/>
              <w:spacing w:after="0" w:line="240" w:lineRule="auto"/>
              <w:jc w:val="right"/>
            </w:pPr>
            <w:r>
              <w:rPr>
                <w:sz w:val="18"/>
              </w:rPr>
              <w:t>3.238.277,67</w:t>
            </w:r>
          </w:p>
        </w:tc>
        <w:tc>
          <w:tcPr>
            <w:tcW w:w="1860" w:type="dxa"/>
            <w:tcMar>
              <w:top w:w="0" w:type="dxa"/>
              <w:bottom w:w="0" w:type="dxa"/>
            </w:tcMar>
            <w:vAlign w:val="center"/>
          </w:tcPr>
          <w:p w:rsidR="00361E2F" w:rsidRDefault="00883EDC">
            <w:pPr>
              <w:keepNext/>
              <w:keepLines/>
              <w:spacing w:after="0" w:line="240" w:lineRule="auto"/>
              <w:jc w:val="right"/>
            </w:pPr>
            <w:r>
              <w:rPr>
                <w:sz w:val="18"/>
              </w:rPr>
              <w:t>3.244.779,24</w:t>
            </w:r>
          </w:p>
        </w:tc>
        <w:tc>
          <w:tcPr>
            <w:tcW w:w="700" w:type="dxa"/>
            <w:tcMar>
              <w:top w:w="0" w:type="dxa"/>
              <w:bottom w:w="0" w:type="dxa"/>
            </w:tcMar>
            <w:vAlign w:val="center"/>
          </w:tcPr>
          <w:p w:rsidR="00361E2F" w:rsidRDefault="00883EDC">
            <w:pPr>
              <w:keepNext/>
              <w:keepLines/>
              <w:spacing w:after="0" w:line="240" w:lineRule="auto"/>
              <w:jc w:val="right"/>
            </w:pPr>
            <w:r>
              <w:rPr>
                <w:sz w:val="18"/>
              </w:rPr>
              <w:t>100,2</w:t>
            </w:r>
          </w:p>
        </w:tc>
      </w:tr>
    </w:tbl>
    <w:p w:rsidR="00361E2F" w:rsidRDefault="00361E2F">
      <w:pPr>
        <w:spacing w:after="0"/>
      </w:pPr>
    </w:p>
    <w:p w:rsidR="00361E2F" w:rsidRDefault="00883EDC" w:rsidP="000F3498">
      <w:pPr>
        <w:jc w:val="both"/>
      </w:pPr>
      <w:r>
        <w:t>Nadležni proračun ostvario je ukupne rashode u iznosu od 2.696.316,05 eura (razina 22), a Dječji vrtić „Snježna pahulja“ ukupne rashode u iznosu od 548.463,19 eura (razina 21). Konsolidirani rashodi iznose ukupno 3.244.779,24 eura (razina 23).</w:t>
      </w:r>
    </w:p>
    <w:p w:rsidR="00361E2F" w:rsidRDefault="00883EDC" w:rsidP="000F3498">
      <w:r>
        <w:t> </w:t>
      </w:r>
      <w:r>
        <w:rPr>
          <w:b/>
          <w:sz w:val="28"/>
        </w:rPr>
        <w:t>Promjene u vrijednosti i obujmu imovine i obveza</w:t>
      </w:r>
    </w:p>
    <w:p w:rsidR="00361E2F" w:rsidRDefault="00883EDC">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sz w:val="18"/>
              </w:rPr>
              <w:t>Financijski instrumenti - dionice i udjeli u glavnici</w:t>
            </w:r>
          </w:p>
        </w:tc>
        <w:tc>
          <w:tcPr>
            <w:tcW w:w="700" w:type="dxa"/>
            <w:tcMar>
              <w:top w:w="0" w:type="dxa"/>
              <w:bottom w:w="0" w:type="dxa"/>
            </w:tcMar>
            <w:vAlign w:val="center"/>
          </w:tcPr>
          <w:p w:rsidR="00361E2F" w:rsidRDefault="00883EDC">
            <w:pPr>
              <w:keepNext/>
              <w:keepLines/>
              <w:spacing w:after="0" w:line="240" w:lineRule="auto"/>
            </w:pPr>
            <w:r>
              <w:rPr>
                <w:sz w:val="18"/>
              </w:rPr>
              <w:t>P013</w:t>
            </w:r>
          </w:p>
        </w:tc>
        <w:tc>
          <w:tcPr>
            <w:tcW w:w="1860" w:type="dxa"/>
            <w:tcMar>
              <w:top w:w="0" w:type="dxa"/>
              <w:bottom w:w="0" w:type="dxa"/>
            </w:tcMar>
            <w:vAlign w:val="center"/>
          </w:tcPr>
          <w:p w:rsidR="00361E2F" w:rsidRDefault="00883EDC">
            <w:pPr>
              <w:keepNext/>
              <w:keepLines/>
              <w:spacing w:after="0" w:line="240" w:lineRule="auto"/>
              <w:jc w:val="right"/>
            </w:pPr>
            <w:r>
              <w:rPr>
                <w:sz w:val="18"/>
              </w:rPr>
              <w:t>0,00</w:t>
            </w:r>
          </w:p>
        </w:tc>
        <w:tc>
          <w:tcPr>
            <w:tcW w:w="1860" w:type="dxa"/>
            <w:tcMar>
              <w:top w:w="0" w:type="dxa"/>
              <w:bottom w:w="0" w:type="dxa"/>
            </w:tcMar>
            <w:vAlign w:val="center"/>
          </w:tcPr>
          <w:p w:rsidR="00361E2F" w:rsidRDefault="00883EDC">
            <w:pPr>
              <w:keepNext/>
              <w:keepLines/>
              <w:spacing w:after="0" w:line="240" w:lineRule="auto"/>
              <w:jc w:val="right"/>
            </w:pPr>
            <w:r>
              <w:rPr>
                <w:sz w:val="18"/>
              </w:rPr>
              <w:t>8,30</w:t>
            </w:r>
          </w:p>
        </w:tc>
        <w:tc>
          <w:tcPr>
            <w:tcW w:w="700" w:type="dxa"/>
            <w:tcMar>
              <w:top w:w="0" w:type="dxa"/>
              <w:bottom w:w="0" w:type="dxa"/>
            </w:tcMar>
            <w:vAlign w:val="center"/>
          </w:tcPr>
          <w:p w:rsidR="00361E2F" w:rsidRDefault="00883EDC">
            <w:pPr>
              <w:keepNext/>
              <w:keepLines/>
              <w:spacing w:after="0" w:line="240" w:lineRule="auto"/>
              <w:jc w:val="right"/>
            </w:pPr>
            <w:r>
              <w:rPr>
                <w:sz w:val="18"/>
              </w:rPr>
              <w:t>-</w:t>
            </w:r>
          </w:p>
        </w:tc>
      </w:tr>
    </w:tbl>
    <w:p w:rsidR="00361E2F" w:rsidRDefault="00361E2F">
      <w:pPr>
        <w:spacing w:after="0"/>
      </w:pPr>
    </w:p>
    <w:p w:rsidR="00361E2F" w:rsidRDefault="00883EDC">
      <w:r>
        <w:t>Kroz obrazac P-VRIO usklađen je udio temeljnog kapitala trgovačkog društva KD Vodovod i kanalizacija d.o.o. </w:t>
      </w:r>
    </w:p>
    <w:p w:rsidR="00361E2F" w:rsidRDefault="00883EDC">
      <w:pPr>
        <w:keepNext/>
        <w:spacing w:line="240" w:lineRule="auto"/>
        <w:jc w:val="center"/>
      </w:pPr>
      <w:r>
        <w:rPr>
          <w:b/>
          <w:sz w:val="28"/>
        </w:rPr>
        <w:lastRenderedPageBreak/>
        <w:t>Izvještaj o obvezama</w:t>
      </w:r>
    </w:p>
    <w:p w:rsidR="00361E2F" w:rsidRDefault="00883EDC">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361E2F" w:rsidRDefault="00883EDC">
            <w:pPr>
              <w:keepNext/>
              <w:keepLines/>
              <w:spacing w:after="0" w:line="240" w:lineRule="auto"/>
            </w:pPr>
            <w:r>
              <w:rPr>
                <w:sz w:val="18"/>
              </w:rPr>
              <w:t>V001</w:t>
            </w:r>
          </w:p>
        </w:tc>
        <w:tc>
          <w:tcPr>
            <w:tcW w:w="1860" w:type="dxa"/>
            <w:tcMar>
              <w:top w:w="0" w:type="dxa"/>
              <w:bottom w:w="0" w:type="dxa"/>
            </w:tcMar>
            <w:vAlign w:val="center"/>
          </w:tcPr>
          <w:p w:rsidR="00361E2F" w:rsidRDefault="00883EDC">
            <w:pPr>
              <w:keepNext/>
              <w:keepLines/>
              <w:spacing w:after="0" w:line="240" w:lineRule="auto"/>
              <w:jc w:val="right"/>
            </w:pPr>
            <w:r>
              <w:rPr>
                <w:sz w:val="18"/>
              </w:rPr>
              <w:t>1.631.623,90</w:t>
            </w:r>
          </w:p>
        </w:tc>
        <w:tc>
          <w:tcPr>
            <w:tcW w:w="700" w:type="dxa"/>
            <w:tcMar>
              <w:top w:w="0" w:type="dxa"/>
              <w:bottom w:w="0" w:type="dxa"/>
            </w:tcMar>
            <w:vAlign w:val="center"/>
          </w:tcPr>
          <w:p w:rsidR="00361E2F" w:rsidRDefault="00883EDC">
            <w:pPr>
              <w:keepNext/>
              <w:keepLines/>
              <w:spacing w:after="0" w:line="240" w:lineRule="auto"/>
              <w:jc w:val="right"/>
            </w:pPr>
            <w:r>
              <w:rPr>
                <w:sz w:val="18"/>
              </w:rPr>
              <w:t>-</w:t>
            </w:r>
          </w:p>
        </w:tc>
      </w:tr>
    </w:tbl>
    <w:p w:rsidR="00361E2F" w:rsidRDefault="00361E2F">
      <w:pPr>
        <w:spacing w:after="0"/>
      </w:pPr>
    </w:p>
    <w:p w:rsidR="00361E2F" w:rsidRDefault="00883EDC">
      <w:pPr>
        <w:jc w:val="both"/>
      </w:pPr>
      <w:r>
        <w:t xml:space="preserve">Šifra V001 – Stanje obveza na početku izvještajnog razdoblja iznosilo je 1.631.623,90 eura, a odnosi se na stanje obveza Općine </w:t>
      </w:r>
      <w:proofErr w:type="spellStart"/>
      <w:r>
        <w:t>Fužine</w:t>
      </w:r>
      <w:proofErr w:type="spellEnd"/>
      <w:r>
        <w:t xml:space="preserve"> 1.598.135,92 eura te stanja Dječjeg vrtića „Snježna pahulja“ u iznosu od 33.487,98 eura. </w:t>
      </w:r>
    </w:p>
    <w:p w:rsidR="00361E2F" w:rsidRDefault="00361E2F"/>
    <w:p w:rsidR="00361E2F" w:rsidRDefault="00883EDC">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361E2F" w:rsidRDefault="00883EDC">
            <w:pPr>
              <w:keepNext/>
              <w:keepLines/>
              <w:spacing w:after="0" w:line="240" w:lineRule="auto"/>
            </w:pPr>
            <w:r>
              <w:rPr>
                <w:sz w:val="18"/>
              </w:rPr>
              <w:t>V006</w:t>
            </w:r>
          </w:p>
        </w:tc>
        <w:tc>
          <w:tcPr>
            <w:tcW w:w="1860" w:type="dxa"/>
            <w:tcMar>
              <w:top w:w="0" w:type="dxa"/>
              <w:bottom w:w="0" w:type="dxa"/>
            </w:tcMar>
            <w:vAlign w:val="center"/>
          </w:tcPr>
          <w:p w:rsidR="00361E2F" w:rsidRDefault="00883EDC">
            <w:pPr>
              <w:keepNext/>
              <w:keepLines/>
              <w:spacing w:after="0" w:line="240" w:lineRule="auto"/>
              <w:jc w:val="right"/>
            </w:pPr>
            <w:r>
              <w:rPr>
                <w:sz w:val="18"/>
              </w:rPr>
              <w:t>1.311.377,14</w:t>
            </w:r>
          </w:p>
        </w:tc>
        <w:tc>
          <w:tcPr>
            <w:tcW w:w="700" w:type="dxa"/>
            <w:tcMar>
              <w:top w:w="0" w:type="dxa"/>
              <w:bottom w:w="0" w:type="dxa"/>
            </w:tcMar>
            <w:vAlign w:val="center"/>
          </w:tcPr>
          <w:p w:rsidR="00361E2F" w:rsidRDefault="00883EDC">
            <w:pPr>
              <w:keepNext/>
              <w:keepLines/>
              <w:spacing w:after="0" w:line="240" w:lineRule="auto"/>
              <w:jc w:val="right"/>
            </w:pPr>
            <w:r>
              <w:rPr>
                <w:sz w:val="18"/>
              </w:rPr>
              <w:t>-</w:t>
            </w:r>
          </w:p>
        </w:tc>
      </w:tr>
    </w:tbl>
    <w:p w:rsidR="00361E2F" w:rsidRDefault="00361E2F">
      <w:pPr>
        <w:spacing w:after="0"/>
      </w:pPr>
    </w:p>
    <w:p w:rsidR="00361E2F" w:rsidRDefault="00883EDC">
      <w:pPr>
        <w:jc w:val="both"/>
      </w:pPr>
      <w:r>
        <w:t xml:space="preserve">Šifra V006 – Stanje obveza na kraju izvještajnog razdoblja, odnosno na dan 31. prosinca 2025. godine iznosi 1.311.377,14 eura što predstavlja smanjenje za 19,63 % u odnosu na stanje 1. siječnja 2025. godine. Od toga obveze Općine </w:t>
      </w:r>
      <w:proofErr w:type="spellStart"/>
      <w:r>
        <w:t>Fužine</w:t>
      </w:r>
      <w:proofErr w:type="spellEnd"/>
      <w:r>
        <w:t xml:space="preserve"> iznose 1.253.093,99 eura, a obveze Dječjeg vrtića „Snježna pahulja“ iznose 58.283,15 eura.</w:t>
      </w:r>
    </w:p>
    <w:p w:rsidR="00361E2F" w:rsidRDefault="00361E2F"/>
    <w:p w:rsidR="00361E2F" w:rsidRDefault="00883EDC">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361E2F" w:rsidRDefault="00883EDC">
            <w:pPr>
              <w:keepNext/>
              <w:keepLines/>
              <w:spacing w:after="0" w:line="240" w:lineRule="auto"/>
            </w:pPr>
            <w:r>
              <w:rPr>
                <w:sz w:val="18"/>
              </w:rPr>
              <w:t>V007</w:t>
            </w:r>
          </w:p>
        </w:tc>
        <w:tc>
          <w:tcPr>
            <w:tcW w:w="1860" w:type="dxa"/>
            <w:tcMar>
              <w:top w:w="0" w:type="dxa"/>
              <w:bottom w:w="0" w:type="dxa"/>
            </w:tcMar>
            <w:vAlign w:val="center"/>
          </w:tcPr>
          <w:p w:rsidR="00361E2F" w:rsidRDefault="00883EDC">
            <w:pPr>
              <w:keepNext/>
              <w:keepLines/>
              <w:spacing w:after="0" w:line="240" w:lineRule="auto"/>
              <w:jc w:val="right"/>
            </w:pPr>
            <w:r>
              <w:rPr>
                <w:sz w:val="18"/>
              </w:rPr>
              <w:t>203.594,90</w:t>
            </w:r>
          </w:p>
        </w:tc>
        <w:tc>
          <w:tcPr>
            <w:tcW w:w="700" w:type="dxa"/>
            <w:tcMar>
              <w:top w:w="0" w:type="dxa"/>
              <w:bottom w:w="0" w:type="dxa"/>
            </w:tcMar>
            <w:vAlign w:val="center"/>
          </w:tcPr>
          <w:p w:rsidR="00361E2F" w:rsidRDefault="00883EDC">
            <w:pPr>
              <w:keepNext/>
              <w:keepLines/>
              <w:spacing w:after="0" w:line="240" w:lineRule="auto"/>
              <w:jc w:val="right"/>
            </w:pPr>
            <w:r>
              <w:rPr>
                <w:sz w:val="18"/>
              </w:rPr>
              <w:t>-</w:t>
            </w:r>
          </w:p>
        </w:tc>
      </w:tr>
    </w:tbl>
    <w:p w:rsidR="00361E2F" w:rsidRDefault="00361E2F">
      <w:pPr>
        <w:spacing w:after="0"/>
      </w:pPr>
    </w:p>
    <w:p w:rsidR="00361E2F" w:rsidRDefault="00883EDC">
      <w:r>
        <w:t>Stanje dospjelih obveza u iznosu od 203.594,90 eura obuhvaća obveze za:</w:t>
      </w:r>
    </w:p>
    <w:p w:rsidR="00361E2F" w:rsidRDefault="00883EDC">
      <w:r>
        <w:t>a)      obveze za materijalne rashode (232):</w:t>
      </w:r>
    </w:p>
    <w:p w:rsidR="00361E2F" w:rsidRDefault="00883EDC">
      <w:r>
        <w:t xml:space="preserve">1.      prekoračenje 1 do 60 dana – radi se o obvezama u iznosu od 83.754,50 eura za troškove održavanja kroz ugovore sa Komunalnim trgovačkim društvom </w:t>
      </w:r>
      <w:proofErr w:type="spellStart"/>
      <w:r>
        <w:t>Fužine</w:t>
      </w:r>
      <w:proofErr w:type="spellEnd"/>
      <w:r>
        <w:t xml:space="preserve"> d.o.o. i 4.585,91 eura Dječji vrtić „Snježna pahulja“ za materijalne rashode.</w:t>
      </w:r>
    </w:p>
    <w:p w:rsidR="00361E2F" w:rsidRDefault="00883EDC">
      <w:r>
        <w:t>2.      prekoračenje preko 360 dana – radi se o obvezama u iznosu od 61.830,58 eura za troškove otplate korištenja cestovnog zemljišta prema Hrvatskim autocestama d.o.o..</w:t>
      </w:r>
    </w:p>
    <w:p w:rsidR="00361E2F" w:rsidRDefault="00883EDC">
      <w:r>
        <w:t>b)      obveze za pomoći dane u inozemstvo i unutar općeg proračuna (236):</w:t>
      </w:r>
    </w:p>
    <w:p w:rsidR="00361E2F" w:rsidRDefault="00883EDC">
      <w:r>
        <w:t> </w:t>
      </w:r>
    </w:p>
    <w:p w:rsidR="00361E2F" w:rsidRDefault="00883EDC">
      <w:r>
        <w:t>1.      prekoračenje 1 do 60 dana – radi se nepodmirenoj obvezi sufinanciranja Županijskog bibliobusa za drugu polovicu 2025. godine u iznosu od 1.194,50 eura.</w:t>
      </w:r>
    </w:p>
    <w:p w:rsidR="00361E2F" w:rsidRDefault="00883EDC">
      <w:r>
        <w:lastRenderedPageBreak/>
        <w:t> </w:t>
      </w:r>
    </w:p>
    <w:p w:rsidR="00361E2F" w:rsidRDefault="00883EDC">
      <w:r>
        <w:t>c)      obveze za donacije, kazne, naknade šteta i kapitalne pomoći (237):</w:t>
      </w:r>
    </w:p>
    <w:p w:rsidR="00361E2F" w:rsidRDefault="00883EDC">
      <w:r>
        <w:t xml:space="preserve">1.      prekoračenje 1 do 60 dana  – radi se nepodmirenoj obvezi za podmirenje poklon bonova za nabavu školskog pribora učenicima, podmirenje troškova smještaja učenicima u učeničkim domovima </w:t>
      </w:r>
      <w:r w:rsidR="000F3498">
        <w:t>p</w:t>
      </w:r>
      <w:r>
        <w:t>oklon umirovljen</w:t>
      </w:r>
      <w:r w:rsidR="000F3498">
        <w:t>i</w:t>
      </w:r>
      <w:r>
        <w:t>cima za Božićne blagdane u ukupnom iznosu od 3.048,86 eura.</w:t>
      </w:r>
    </w:p>
    <w:p w:rsidR="00361E2F" w:rsidRDefault="00883EDC">
      <w:r>
        <w:t>d)  obveze za donacije, kazne, naknade šteta i kapitalne pomoći (238):</w:t>
      </w:r>
    </w:p>
    <w:p w:rsidR="00361E2F" w:rsidRDefault="00883EDC">
      <w:r>
        <w:t>1.      prekoračenje 1 do 60 dana – radi se o za nepodmirene obveze prema komunalnom društvu</w:t>
      </w:r>
    </w:p>
    <w:p w:rsidR="00361E2F" w:rsidRDefault="00883EDC">
      <w:r>
        <w:t xml:space="preserve">Komunalac za sufinanciranje sanacije odlagališta Sović Laz 5 i sufinanciranje priključaka domaćinstvima sa područja Općine </w:t>
      </w:r>
      <w:proofErr w:type="spellStart"/>
      <w:r>
        <w:t>Fužine</w:t>
      </w:r>
      <w:proofErr w:type="spellEnd"/>
      <w:r>
        <w:t xml:space="preserve"> na kanalizacijski kolektor – 9.982,95 eura</w:t>
      </w:r>
    </w:p>
    <w:p w:rsidR="00361E2F" w:rsidRDefault="00883EDC">
      <w:r>
        <w:t>2.      prekoračenje 61 do 180 dana – radi se o obvezi prema komunalnom društvu Komunalac za</w:t>
      </w:r>
    </w:p>
    <w:p w:rsidR="00361E2F" w:rsidRDefault="00883EDC">
      <w:r>
        <w:t>    sufinanciranju sanacije odlagališta otpada Sović laz 5.600,88 eura.</w:t>
      </w:r>
    </w:p>
    <w:p w:rsidR="00361E2F" w:rsidRDefault="00883EDC">
      <w:r>
        <w:t>e)  nabavu nefinancijske imovine (24):</w:t>
      </w:r>
    </w:p>
    <w:p w:rsidR="00361E2F" w:rsidRDefault="00883EDC">
      <w:r>
        <w:t>1.      prekoračenje  1 do 60 dana – radi se o obvezi za izradu plana javne rasvjete za Općinu</w:t>
      </w:r>
    </w:p>
    <w:p w:rsidR="00361E2F" w:rsidRDefault="00883EDC">
      <w:proofErr w:type="spellStart"/>
      <w:r>
        <w:t>Fužine</w:t>
      </w:r>
      <w:proofErr w:type="spellEnd"/>
      <w:r>
        <w:t>, izrada projektne dokumentacije i postavu i montažu dječjih sprava 23.887,50 eura.</w:t>
      </w:r>
    </w:p>
    <w:p w:rsidR="00361E2F" w:rsidRDefault="00883EDC">
      <w:r>
        <w:t xml:space="preserve">f)  obveze za predujmove, depozite, </w:t>
      </w:r>
      <w:proofErr w:type="spellStart"/>
      <w:r>
        <w:t>jamčevne</w:t>
      </w:r>
      <w:proofErr w:type="spellEnd"/>
      <w:r>
        <w:t xml:space="preserve"> </w:t>
      </w:r>
      <w:proofErr w:type="spellStart"/>
      <w:r>
        <w:t>pologe</w:t>
      </w:r>
      <w:proofErr w:type="spellEnd"/>
      <w:r>
        <w:t xml:space="preserve"> i tuđe prihode (27):</w:t>
      </w:r>
    </w:p>
    <w:p w:rsidR="00361E2F" w:rsidRDefault="00883EDC">
      <w:r>
        <w:t xml:space="preserve">1. stanje obveza za predujmove, depozite, </w:t>
      </w:r>
      <w:proofErr w:type="spellStart"/>
      <w:r>
        <w:t>jamčevne</w:t>
      </w:r>
      <w:proofErr w:type="spellEnd"/>
      <w:r>
        <w:t xml:space="preserve"> </w:t>
      </w:r>
      <w:proofErr w:type="spellStart"/>
      <w:r>
        <w:t>pologe</w:t>
      </w:r>
      <w:proofErr w:type="spellEnd"/>
      <w:r>
        <w:t xml:space="preserve"> i tuđe prihode u iznosu od  6.835,56 eura, odnose se na uplaćene </w:t>
      </w:r>
      <w:proofErr w:type="spellStart"/>
      <w:r>
        <w:t>jamčevne</w:t>
      </w:r>
      <w:proofErr w:type="spellEnd"/>
      <w:r>
        <w:t xml:space="preserve"> </w:t>
      </w:r>
      <w:proofErr w:type="spellStart"/>
      <w:r>
        <w:t>pologe</w:t>
      </w:r>
      <w:proofErr w:type="spellEnd"/>
      <w:r>
        <w:t xml:space="preserve"> roditelja za smještaj u Dječji vrtić „Snježna pahulja“.</w:t>
      </w:r>
    </w:p>
    <w:p w:rsidR="00361E2F" w:rsidRDefault="00883EDC">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61E2F">
        <w:trPr>
          <w:cantSplit/>
        </w:trPr>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61E2F" w:rsidRDefault="00883EDC">
            <w:pPr>
              <w:keepNext/>
              <w:keepLines/>
              <w:spacing w:after="0" w:line="240" w:lineRule="auto"/>
              <w:jc w:val="center"/>
            </w:pPr>
            <w:r>
              <w:rPr>
                <w:b/>
                <w:sz w:val="18"/>
              </w:rPr>
              <w:t>Indeks (%)</w:t>
            </w:r>
          </w:p>
        </w:tc>
      </w:tr>
      <w:tr w:rsidR="00361E2F">
        <w:trPr>
          <w:cantSplit/>
          <w:trHeight w:val="560"/>
        </w:trPr>
        <w:tc>
          <w:tcPr>
            <w:tcW w:w="700" w:type="dxa"/>
            <w:tcMar>
              <w:top w:w="0" w:type="dxa"/>
              <w:bottom w:w="0" w:type="dxa"/>
            </w:tcMar>
            <w:vAlign w:val="center"/>
          </w:tcPr>
          <w:p w:rsidR="00361E2F" w:rsidRDefault="00361E2F">
            <w:pPr>
              <w:keepNext/>
              <w:keepLines/>
              <w:spacing w:after="0" w:line="240" w:lineRule="auto"/>
            </w:pPr>
          </w:p>
        </w:tc>
        <w:tc>
          <w:tcPr>
            <w:tcW w:w="3180" w:type="dxa"/>
            <w:tcMar>
              <w:top w:w="0" w:type="dxa"/>
              <w:bottom w:w="0" w:type="dxa"/>
            </w:tcMar>
            <w:vAlign w:val="center"/>
          </w:tcPr>
          <w:p w:rsidR="00361E2F" w:rsidRDefault="00883EDC">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361E2F" w:rsidRDefault="00883EDC">
            <w:pPr>
              <w:keepNext/>
              <w:keepLines/>
              <w:spacing w:after="0" w:line="240" w:lineRule="auto"/>
            </w:pPr>
            <w:r>
              <w:rPr>
                <w:sz w:val="18"/>
              </w:rPr>
              <w:t>V009</w:t>
            </w:r>
          </w:p>
        </w:tc>
        <w:tc>
          <w:tcPr>
            <w:tcW w:w="1860" w:type="dxa"/>
            <w:tcMar>
              <w:top w:w="0" w:type="dxa"/>
              <w:bottom w:w="0" w:type="dxa"/>
            </w:tcMar>
            <w:vAlign w:val="center"/>
          </w:tcPr>
          <w:p w:rsidR="00361E2F" w:rsidRDefault="00883EDC">
            <w:pPr>
              <w:keepNext/>
              <w:keepLines/>
              <w:spacing w:after="0" w:line="240" w:lineRule="auto"/>
              <w:jc w:val="right"/>
            </w:pPr>
            <w:r>
              <w:rPr>
                <w:sz w:val="18"/>
              </w:rPr>
              <w:t>1.107.782,24</w:t>
            </w:r>
          </w:p>
        </w:tc>
        <w:tc>
          <w:tcPr>
            <w:tcW w:w="700" w:type="dxa"/>
            <w:tcMar>
              <w:top w:w="0" w:type="dxa"/>
              <w:bottom w:w="0" w:type="dxa"/>
            </w:tcMar>
            <w:vAlign w:val="center"/>
          </w:tcPr>
          <w:p w:rsidR="00361E2F" w:rsidRDefault="00883EDC">
            <w:pPr>
              <w:keepNext/>
              <w:keepLines/>
              <w:spacing w:after="0" w:line="240" w:lineRule="auto"/>
              <w:jc w:val="right"/>
            </w:pPr>
            <w:r>
              <w:rPr>
                <w:sz w:val="18"/>
              </w:rPr>
              <w:t>-</w:t>
            </w:r>
          </w:p>
        </w:tc>
      </w:tr>
    </w:tbl>
    <w:p w:rsidR="00361E2F" w:rsidRDefault="00361E2F">
      <w:pPr>
        <w:spacing w:after="0"/>
      </w:pPr>
    </w:p>
    <w:p w:rsidR="00361E2F" w:rsidRDefault="00883EDC">
      <w:pPr>
        <w:jc w:val="both"/>
      </w:pPr>
      <w:r>
        <w:t>Šifra V009 – Stanje nedospjelih obveza na kraju izvještajnog razdoblja iznosi 1.107.782,24 eura</w:t>
      </w:r>
    </w:p>
    <w:p w:rsidR="00361E2F" w:rsidRDefault="00883EDC">
      <w:pPr>
        <w:jc w:val="both"/>
      </w:pPr>
      <w:r>
        <w:t>-     međusobne obveze subjekata općeg proračuna                                     </w:t>
      </w:r>
      <w:r w:rsidR="000F3498">
        <w:t xml:space="preserve">        </w:t>
      </w:r>
      <w:r>
        <w:t xml:space="preserve">    40,58 eura</w:t>
      </w:r>
    </w:p>
    <w:p w:rsidR="00361E2F" w:rsidRDefault="00883EDC">
      <w:pPr>
        <w:jc w:val="both"/>
      </w:pPr>
      <w:r>
        <w:t>-          obveze za rashode poslovanja                                                       </w:t>
      </w:r>
      <w:r w:rsidR="000F3498">
        <w:t xml:space="preserve">      </w:t>
      </w:r>
      <w:r>
        <w:t xml:space="preserve"> 170.264,20 eura</w:t>
      </w:r>
    </w:p>
    <w:p w:rsidR="00361E2F" w:rsidRDefault="00883EDC">
      <w:pPr>
        <w:jc w:val="both"/>
      </w:pPr>
      <w:r>
        <w:t xml:space="preserve">-          obveze na nabavu nefinancijske imovine                                        </w:t>
      </w:r>
      <w:r w:rsidR="000F3498">
        <w:t xml:space="preserve">      </w:t>
      </w:r>
      <w:r>
        <w:t>   3.312,50 eura</w:t>
      </w:r>
    </w:p>
    <w:p w:rsidR="00361E2F" w:rsidRDefault="00883EDC">
      <w:pPr>
        <w:jc w:val="both"/>
      </w:pPr>
      <w:r>
        <w:t xml:space="preserve">-          obveze za financijsku imovinu                                                    </w:t>
      </w:r>
      <w:r w:rsidR="000F3498">
        <w:t xml:space="preserve">      </w:t>
      </w:r>
      <w:r>
        <w:t>   916.439,59 eura</w:t>
      </w:r>
    </w:p>
    <w:p w:rsidR="00361E2F" w:rsidRDefault="00883EDC">
      <w:pPr>
        <w:jc w:val="both"/>
      </w:pPr>
      <w:r>
        <w:t>-          obveze za depozite - jamčevine                                                 </w:t>
      </w:r>
      <w:r w:rsidR="000F3498">
        <w:t xml:space="preserve">        </w:t>
      </w:r>
      <w:r>
        <w:t xml:space="preserve">     17.725,37 eura</w:t>
      </w:r>
    </w:p>
    <w:p w:rsidR="00361E2F" w:rsidRDefault="00883EDC">
      <w:pPr>
        <w:jc w:val="both"/>
      </w:pPr>
      <w:r>
        <w:t>                                                                                       UKUPNO:    </w:t>
      </w:r>
      <w:r w:rsidR="000F3498">
        <w:t xml:space="preserve">     </w:t>
      </w:r>
      <w:r>
        <w:t xml:space="preserve">     1.107.782,24 eura </w:t>
      </w:r>
    </w:p>
    <w:p w:rsidR="00361E2F" w:rsidRDefault="00883EDC">
      <w:pPr>
        <w:jc w:val="both"/>
      </w:pPr>
      <w:r>
        <w:t> </w:t>
      </w:r>
    </w:p>
    <w:p w:rsidR="00361E2F" w:rsidRDefault="00883EDC">
      <w:pPr>
        <w:keepNext/>
        <w:spacing w:line="240" w:lineRule="auto"/>
        <w:jc w:val="center"/>
      </w:pPr>
      <w:bookmarkStart w:id="0" w:name="_GoBack"/>
      <w:bookmarkEnd w:id="0"/>
      <w:r>
        <w:rPr>
          <w:sz w:val="28"/>
        </w:rPr>
        <w:lastRenderedPageBreak/>
        <w:t>Bilješka 46.</w:t>
      </w:r>
    </w:p>
    <w:p w:rsidR="00361E2F" w:rsidRDefault="00883EDC">
      <w:pPr>
        <w:spacing w:line="240" w:lineRule="auto"/>
        <w:jc w:val="both"/>
      </w:pPr>
      <w:proofErr w:type="spellStart"/>
      <w:r>
        <w:rPr>
          <w:b/>
        </w:rPr>
        <w:t>Unutargrupne</w:t>
      </w:r>
      <w:proofErr w:type="spellEnd"/>
      <w:r>
        <w:rPr>
          <w:b/>
        </w:rPr>
        <w:t xml:space="preserve"> transakcije koje su u izvještajima eliminirane</w:t>
      </w:r>
    </w:p>
    <w:p w:rsidR="00361E2F" w:rsidRDefault="00883EDC">
      <w:pPr>
        <w:jc w:val="both"/>
      </w:pPr>
      <w:r>
        <w:t>Šifra 671 – Prihodi iz nadležnog proračuna za financiranje redovne djelatnosti proračunskih korisnika – unutar skupine konta 671 konsolidira se prihod koji proračunski korisnici ostvare uplatom iz nadležnog proračuna za financiranje rashoda poslovanja i rashoda za nabavu nefinancijske imovine. Ukupni prihod koji je Dječji vrtić „Snježna pahulja“ ostvario po toj osnovi u izvještajnom razdoblju je 331.048,27 eura (šifra 671 u izvještaju razine 21).  </w:t>
      </w:r>
    </w:p>
    <w:p w:rsidR="00361E2F" w:rsidRDefault="00883EDC">
      <w:pPr>
        <w:jc w:val="both"/>
      </w:pPr>
      <w:r>
        <w:t xml:space="preserve">Šifra 367 – Prijenosi proračunskim korisnicima iz nadležnog proračuna za financiranje redovne djelatnosti – unutar skupine 367 konsolidira se ukupan iznos od 331.048,27 eura (šifra 367 razine 22).  Eliminiraju se transakcije u ukupnom iznosu od 331.048,27 eura. To su sredstva koja je Općina </w:t>
      </w:r>
      <w:proofErr w:type="spellStart"/>
      <w:r>
        <w:t>Fužine</w:t>
      </w:r>
      <w:proofErr w:type="spellEnd"/>
      <w:r>
        <w:t xml:space="preserve"> uplatila Dječjem vrtiću za redovno poslovanje.</w:t>
      </w:r>
    </w:p>
    <w:p w:rsidR="00361E2F" w:rsidRDefault="00361E2F"/>
    <w:p w:rsidR="00361E2F" w:rsidRDefault="00883EDC">
      <w:pPr>
        <w:keepNext/>
        <w:spacing w:line="240" w:lineRule="auto"/>
        <w:jc w:val="center"/>
      </w:pPr>
      <w:r>
        <w:rPr>
          <w:sz w:val="28"/>
        </w:rPr>
        <w:t>Bilješka 47.</w:t>
      </w:r>
    </w:p>
    <w:p w:rsidR="00361E2F" w:rsidRDefault="00883EDC">
      <w:pPr>
        <w:spacing w:line="240" w:lineRule="auto"/>
        <w:jc w:val="both"/>
      </w:pPr>
      <w:r>
        <w:rPr>
          <w:b/>
        </w:rPr>
        <w:t xml:space="preserve">Manjak ili višak u poslovanju grupe i pregled strukture manjka/viška po proračunskim korisnicima </w:t>
      </w:r>
    </w:p>
    <w:p w:rsidR="00361E2F" w:rsidRDefault="00883EDC">
      <w:pPr>
        <w:jc w:val="both"/>
      </w:pPr>
      <w:r>
        <w:t xml:space="preserve">Manjak prihoda i primitaka za pokriće u sljedećem razdoblju – kod proračunskog korisnika Dječji vrtić „Snježna pahulja“ ostvaren je manjak prihoda u izvještajnom razdoblju u iznosu od 43.439,88 eura što s manjkom prihoda proračuna Općine </w:t>
      </w:r>
      <w:proofErr w:type="spellStart"/>
      <w:r>
        <w:t>Fužine</w:t>
      </w:r>
      <w:proofErr w:type="spellEnd"/>
      <w:r>
        <w:t xml:space="preserve"> u iznosu od 458.622,73 eura daje manjak prihoda za pokriće u sljedećem razdoblju u iznosu od 502.062,61 eura (šifra Y006 u izvještaju razine 23).</w:t>
      </w:r>
    </w:p>
    <w:p w:rsidR="00361E2F" w:rsidRDefault="00883EDC">
      <w:r>
        <w:t> </w:t>
      </w:r>
    </w:p>
    <w:p w:rsidR="00361E2F" w:rsidRDefault="00883EDC">
      <w:r>
        <w:t> </w:t>
      </w:r>
    </w:p>
    <w:p w:rsidR="00361E2F" w:rsidRDefault="00361E2F"/>
    <w:sectPr w:rsidR="00361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2F"/>
    <w:rsid w:val="000F3498"/>
    <w:rsid w:val="00361E2F"/>
    <w:rsid w:val="00712C3D"/>
    <w:rsid w:val="00883E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BCF6F-AA77-43C8-B730-B03E46A8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5008</Words>
  <Characters>28551</Characters>
  <Application>Microsoft Office Word</Application>
  <DocSecurity>0</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Budiselić</dc:creator>
  <cp:lastModifiedBy>Računovodstvo OPF</cp:lastModifiedBy>
  <cp:revision>3</cp:revision>
  <dcterms:created xsi:type="dcterms:W3CDTF">2026-03-02T14:56:00Z</dcterms:created>
  <dcterms:modified xsi:type="dcterms:W3CDTF">2026-03-04T14:25:00Z</dcterms:modified>
</cp:coreProperties>
</file>